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56E9C" w14:paraId="7DEC02DA" w14:textId="77777777" w:rsidTr="00316264">
        <w:trPr>
          <w:cantSplit/>
          <w:trHeight w:hRule="exact" w:val="851"/>
        </w:trPr>
        <w:tc>
          <w:tcPr>
            <w:tcW w:w="1276" w:type="dxa"/>
            <w:tcBorders>
              <w:bottom w:val="single" w:sz="4" w:space="0" w:color="auto"/>
            </w:tcBorders>
            <w:shd w:val="clear" w:color="auto" w:fill="auto"/>
            <w:vAlign w:val="bottom"/>
          </w:tcPr>
          <w:p w14:paraId="1B25FA5D" w14:textId="77777777" w:rsidR="00B56E9C" w:rsidRPr="00ED616A" w:rsidRDefault="00B56E9C" w:rsidP="00316264">
            <w:pPr>
              <w:pStyle w:val="SingleTxtG"/>
            </w:pPr>
          </w:p>
        </w:tc>
        <w:tc>
          <w:tcPr>
            <w:tcW w:w="2268" w:type="dxa"/>
            <w:tcBorders>
              <w:bottom w:val="single" w:sz="4" w:space="0" w:color="auto"/>
            </w:tcBorders>
            <w:shd w:val="clear" w:color="auto" w:fill="auto"/>
            <w:vAlign w:val="bottom"/>
          </w:tcPr>
          <w:p w14:paraId="1B027710" w14:textId="77777777" w:rsidR="00B56E9C" w:rsidRPr="00316264" w:rsidRDefault="00B56E9C" w:rsidP="00316264">
            <w:pPr>
              <w:spacing w:after="80" w:line="300" w:lineRule="exact"/>
              <w:rPr>
                <w:b/>
                <w:sz w:val="24"/>
                <w:szCs w:val="24"/>
              </w:rPr>
            </w:pPr>
            <w:r>
              <w:rPr>
                <w:sz w:val="28"/>
                <w:szCs w:val="28"/>
              </w:rPr>
              <w:t>Verenigde Naties</w:t>
            </w:r>
          </w:p>
        </w:tc>
        <w:tc>
          <w:tcPr>
            <w:tcW w:w="6095" w:type="dxa"/>
            <w:gridSpan w:val="2"/>
            <w:tcBorders>
              <w:bottom w:val="single" w:sz="4" w:space="0" w:color="auto"/>
            </w:tcBorders>
            <w:shd w:val="clear" w:color="auto" w:fill="auto"/>
            <w:vAlign w:val="bottom"/>
          </w:tcPr>
          <w:p w14:paraId="489E59E8" w14:textId="77777777" w:rsidR="00B56E9C" w:rsidRPr="002E51B7" w:rsidRDefault="00D22FD0" w:rsidP="00D22FD0">
            <w:pPr>
              <w:jc w:val="right"/>
            </w:pPr>
            <w:r>
              <w:rPr>
                <w:sz w:val="40"/>
              </w:rPr>
              <w:t>CEDAW</w:t>
            </w:r>
            <w:r>
              <w:t>/C/GC/31-CRC/C/GC/18</w:t>
            </w:r>
          </w:p>
        </w:tc>
      </w:tr>
      <w:tr w:rsidR="00B56E9C" w14:paraId="09BD8876" w14:textId="77777777" w:rsidTr="00316264">
        <w:trPr>
          <w:cantSplit/>
          <w:trHeight w:hRule="exact" w:val="2835"/>
        </w:trPr>
        <w:tc>
          <w:tcPr>
            <w:tcW w:w="1276" w:type="dxa"/>
            <w:tcBorders>
              <w:top w:val="single" w:sz="4" w:space="0" w:color="auto"/>
              <w:bottom w:val="single" w:sz="12" w:space="0" w:color="auto"/>
            </w:tcBorders>
            <w:shd w:val="clear" w:color="auto" w:fill="auto"/>
          </w:tcPr>
          <w:p w14:paraId="623662C6" w14:textId="2066681B" w:rsidR="00B56E9C" w:rsidRDefault="00D77B79" w:rsidP="00316264">
            <w:pPr>
              <w:spacing w:before="120"/>
              <w:jc w:val="center"/>
            </w:pPr>
            <w:r>
              <w:rPr>
                <w:noProof/>
              </w:rPr>
              <w:drawing>
                <wp:inline distT="0" distB="0" distL="0" distR="0" wp14:anchorId="6C6CDE04" wp14:editId="4ACC730C">
                  <wp:extent cx="714375" cy="590550"/>
                  <wp:effectExtent l="0" t="0" r="0" b="0"/>
                  <wp:docPr id="1" name="Afbeelding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shd w:val="clear" w:color="auto" w:fill="auto"/>
          </w:tcPr>
          <w:p w14:paraId="5B783040" w14:textId="77777777" w:rsidR="00B56E9C" w:rsidRPr="00316264" w:rsidRDefault="00B56E9C" w:rsidP="00316264">
            <w:pPr>
              <w:spacing w:before="120" w:line="380" w:lineRule="exact"/>
              <w:rPr>
                <w:b/>
                <w:sz w:val="34"/>
                <w:szCs w:val="40"/>
              </w:rPr>
            </w:pPr>
            <w:r>
              <w:rPr>
                <w:b/>
                <w:sz w:val="34"/>
                <w:szCs w:val="40"/>
              </w:rPr>
              <w:t>Verdrag inzake de uitbanning</w:t>
            </w:r>
            <w:r>
              <w:t xml:space="preserve"> </w:t>
            </w:r>
            <w:r>
              <w:rPr>
                <w:b/>
                <w:sz w:val="34"/>
                <w:szCs w:val="40"/>
              </w:rPr>
              <w:t>van alle vormen van discriminatie</w:t>
            </w:r>
            <w:r>
              <w:t xml:space="preserve"> </w:t>
            </w:r>
            <w:r>
              <w:rPr>
                <w:b/>
                <w:sz w:val="34"/>
                <w:szCs w:val="40"/>
              </w:rPr>
              <w:t>van vrouwen</w:t>
            </w:r>
          </w:p>
          <w:p w14:paraId="2CDFFDCA" w14:textId="77777777" w:rsidR="00B56E9C" w:rsidRDefault="00B56E9C" w:rsidP="00316264">
            <w:pPr>
              <w:spacing w:before="120" w:line="420" w:lineRule="exact"/>
            </w:pPr>
          </w:p>
        </w:tc>
        <w:tc>
          <w:tcPr>
            <w:tcW w:w="2835" w:type="dxa"/>
            <w:tcBorders>
              <w:top w:val="single" w:sz="4" w:space="0" w:color="auto"/>
              <w:bottom w:val="single" w:sz="12" w:space="0" w:color="auto"/>
            </w:tcBorders>
            <w:shd w:val="clear" w:color="auto" w:fill="auto"/>
          </w:tcPr>
          <w:p w14:paraId="2817EF7F" w14:textId="77777777" w:rsidR="00B56E9C" w:rsidRDefault="00D22FD0" w:rsidP="00D22FD0">
            <w:pPr>
              <w:spacing w:before="240" w:line="240" w:lineRule="exact"/>
            </w:pPr>
            <w:r>
              <w:t>Verspr.: Algemeen</w:t>
            </w:r>
          </w:p>
          <w:p w14:paraId="394BAF0F" w14:textId="77777777" w:rsidR="00D22FD0" w:rsidRDefault="00BE05BB" w:rsidP="00D22FD0">
            <w:pPr>
              <w:spacing w:line="240" w:lineRule="exact"/>
            </w:pPr>
            <w:r>
              <w:t>4 november 2014</w:t>
            </w:r>
          </w:p>
          <w:p w14:paraId="278796B6" w14:textId="77777777" w:rsidR="00D22FD0" w:rsidRDefault="00D22FD0" w:rsidP="00D22FD0">
            <w:pPr>
              <w:spacing w:line="240" w:lineRule="exact"/>
            </w:pPr>
          </w:p>
          <w:p w14:paraId="17AD89CE" w14:textId="77777777" w:rsidR="00280754" w:rsidRDefault="00D22FD0" w:rsidP="00BE05BB">
            <w:pPr>
              <w:spacing w:line="240" w:lineRule="exact"/>
            </w:pPr>
            <w:r>
              <w:t>Origineel: Engels</w:t>
            </w:r>
          </w:p>
          <w:p w14:paraId="778C5476" w14:textId="77777777" w:rsidR="00841C2E" w:rsidRDefault="00841C2E" w:rsidP="00BE05BB">
            <w:pPr>
              <w:spacing w:line="240" w:lineRule="exact"/>
            </w:pPr>
          </w:p>
          <w:p w14:paraId="5D912EA6" w14:textId="77777777" w:rsidR="00841C2E" w:rsidRDefault="00841C2E" w:rsidP="00BE05BB">
            <w:pPr>
              <w:spacing w:line="240" w:lineRule="exact"/>
            </w:pPr>
          </w:p>
          <w:p w14:paraId="25B772D8" w14:textId="77777777" w:rsidR="00841C2E" w:rsidRPr="00280754" w:rsidRDefault="00841C2E" w:rsidP="00BE05BB">
            <w:pPr>
              <w:spacing w:line="240" w:lineRule="exact"/>
              <w:rPr>
                <w:b/>
                <w:u w:val="single"/>
              </w:rPr>
            </w:pPr>
            <w:r>
              <w:rPr>
                <w:b/>
                <w:bCs/>
                <w:sz w:val="18"/>
                <w:szCs w:val="18"/>
                <w:u w:val="single"/>
              </w:rPr>
              <w:t>VOORLOPIGE ONGEREDIGEERDE VERSIE</w:t>
            </w:r>
          </w:p>
        </w:tc>
      </w:tr>
    </w:tbl>
    <w:p w14:paraId="4728CEFD" w14:textId="77777777" w:rsidR="00D22FD0" w:rsidRPr="00F9040B" w:rsidRDefault="00D22FD0" w:rsidP="00D22FD0">
      <w:pPr>
        <w:pStyle w:val="H1"/>
        <w:ind w:left="0" w:right="1260" w:firstLine="0"/>
      </w:pPr>
      <w:r>
        <w:t xml:space="preserve">Verdrag inzake de uitbanning van alle vormen van discriminatie van vrouwen </w:t>
      </w:r>
    </w:p>
    <w:p w14:paraId="03999BA0" w14:textId="77777777" w:rsidR="00D22FD0" w:rsidRDefault="00D22FD0" w:rsidP="00D22FD0">
      <w:pPr>
        <w:pStyle w:val="H1"/>
      </w:pPr>
      <w:r>
        <w:t>Comité voor de Rechten van het Kind</w:t>
      </w:r>
    </w:p>
    <w:p w14:paraId="36F40931" w14:textId="77777777" w:rsidR="00E61D3D" w:rsidRDefault="00D22FD0" w:rsidP="00D22FD0">
      <w:pPr>
        <w:pStyle w:val="HChG"/>
      </w:pPr>
      <w:r>
        <w:tab/>
      </w:r>
      <w:r>
        <w:tab/>
        <w:t>Gezamenlijke General Recommendation/General Comment Nr. 31 van het Comité voor de uitbanning van alle vormen van discriminatie van vrouwen en Nr. 18 van het Comité voor de Rechten van het Kind inzake schadelijke praktijken</w:t>
      </w:r>
    </w:p>
    <w:p w14:paraId="4B115BE4" w14:textId="77777777" w:rsidR="00416DB5" w:rsidRDefault="00841C2E" w:rsidP="00416DB5">
      <w:pPr>
        <w:spacing w:after="120"/>
        <w:rPr>
          <w:sz w:val="28"/>
        </w:rPr>
      </w:pPr>
      <w:r>
        <w:br w:type="page"/>
      </w:r>
      <w:r>
        <w:rPr>
          <w:sz w:val="28"/>
        </w:rPr>
        <w:lastRenderedPageBreak/>
        <w:t>Inhoudsopgave</w:t>
      </w:r>
    </w:p>
    <w:p w14:paraId="73FF116B" w14:textId="77777777" w:rsidR="00416DB5" w:rsidRDefault="00416DB5" w:rsidP="00416DB5">
      <w:pPr>
        <w:tabs>
          <w:tab w:val="right" w:pos="9638"/>
        </w:tabs>
        <w:spacing w:after="120"/>
        <w:ind w:left="283"/>
        <w:rPr>
          <w:sz w:val="18"/>
        </w:rPr>
      </w:pPr>
      <w:r>
        <w:rPr>
          <w:i/>
          <w:sz w:val="18"/>
        </w:rPr>
        <w:tab/>
        <w:t>Pagina</w:t>
      </w:r>
    </w:p>
    <w:p w14:paraId="1B4C1CAD"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t>1.</w:t>
      </w:r>
      <w:r>
        <w:tab/>
        <w:t>Inleiding</w:t>
      </w:r>
      <w:r>
        <w:tab/>
      </w:r>
      <w:r>
        <w:tab/>
        <w:t>3</w:t>
      </w:r>
    </w:p>
    <w:p w14:paraId="51F4D46A"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t>2.</w:t>
      </w:r>
      <w:r>
        <w:tab/>
        <w:t>Doel en toepassingsgebied van de General Recommendation/General Comment (GR/GC)</w:t>
      </w:r>
      <w:r>
        <w:tab/>
      </w:r>
      <w:r>
        <w:tab/>
        <w:t>3</w:t>
      </w:r>
    </w:p>
    <w:p w14:paraId="3885CFDC"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t>3.</w:t>
      </w:r>
      <w:r>
        <w:tab/>
        <w:t>Motivering voor de gezamenlijke General Recommendation/General Comment</w:t>
      </w:r>
      <w:r>
        <w:tab/>
      </w:r>
      <w:r>
        <w:tab/>
        <w:t>3</w:t>
      </w:r>
    </w:p>
    <w:p w14:paraId="0083ED3D"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t>4.</w:t>
      </w:r>
      <w:r>
        <w:tab/>
        <w:t>Normatieve inhoud van het CEDAW-verdrag en het Kinderrechtenverdrag</w:t>
      </w:r>
      <w:r>
        <w:tab/>
      </w:r>
      <w:r>
        <w:tab/>
        <w:t>5</w:t>
      </w:r>
    </w:p>
    <w:p w14:paraId="6030E71E"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t>5.</w:t>
      </w:r>
      <w:r>
        <w:tab/>
        <w:t>Criteria voor het vaststellen van schadelijke praktijken</w:t>
      </w:r>
      <w:r>
        <w:tab/>
      </w:r>
      <w:r>
        <w:tab/>
        <w:t>6</w:t>
      </w:r>
    </w:p>
    <w:p w14:paraId="4F1F5F50"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t>6.</w:t>
      </w:r>
      <w:r>
        <w:tab/>
        <w:t>Oorzaken, vormen en uitingen van schadelijke praktijken</w:t>
      </w:r>
      <w:r>
        <w:tab/>
      </w:r>
      <w:r>
        <w:tab/>
        <w:t>6</w:t>
      </w:r>
    </w:p>
    <w:p w14:paraId="01985735"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t>6.1</w:t>
      </w:r>
      <w:r>
        <w:tab/>
        <w:t>Vrouwelijke genitale verminking</w:t>
      </w:r>
      <w:r>
        <w:tab/>
      </w:r>
      <w:r>
        <w:tab/>
        <w:t>7</w:t>
      </w:r>
    </w:p>
    <w:p w14:paraId="4C56493F"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t>6.2</w:t>
      </w:r>
      <w:r>
        <w:tab/>
        <w:t>Kindhuwelijken en andere gedwongen huwelijken</w:t>
      </w:r>
      <w:r>
        <w:tab/>
      </w:r>
      <w:r>
        <w:tab/>
        <w:t>7</w:t>
      </w:r>
    </w:p>
    <w:p w14:paraId="2544CA2F"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t>6.3</w:t>
      </w:r>
      <w:r>
        <w:tab/>
        <w:t xml:space="preserve">Polygamie </w:t>
      </w:r>
      <w:r>
        <w:tab/>
      </w:r>
      <w:r>
        <w:tab/>
        <w:t>8</w:t>
      </w:r>
    </w:p>
    <w:p w14:paraId="5B0D3946"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t>6.4</w:t>
      </w:r>
      <w:r>
        <w:tab/>
        <w:t>Misdrijven in het kader van eerwraak</w:t>
      </w:r>
      <w:r>
        <w:tab/>
      </w:r>
      <w:r>
        <w:tab/>
        <w:t>9</w:t>
      </w:r>
    </w:p>
    <w:p w14:paraId="255B2838"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t>7.</w:t>
      </w:r>
      <w:r>
        <w:tab/>
        <w:t>Holistisch kader voor het aanpakken van schadelijke praktijken</w:t>
      </w:r>
      <w:r>
        <w:tab/>
      </w:r>
      <w:r>
        <w:tab/>
        <w:t>9</w:t>
      </w:r>
    </w:p>
    <w:p w14:paraId="3522B480"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t>7.1</w:t>
      </w:r>
      <w:r>
        <w:tab/>
        <w:t>Gegevensverzameling en -controle</w:t>
      </w:r>
      <w:r>
        <w:tab/>
      </w:r>
      <w:r>
        <w:tab/>
        <w:t>10</w:t>
      </w:r>
    </w:p>
    <w:p w14:paraId="0F736945"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t>7.2</w:t>
      </w:r>
      <w:r>
        <w:tab/>
        <w:t>Wet- en regelgeving en de handhaving ervan</w:t>
      </w:r>
      <w:r>
        <w:tab/>
      </w:r>
      <w:r>
        <w:tab/>
        <w:t>11</w:t>
      </w:r>
    </w:p>
    <w:p w14:paraId="599A3C94"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t>7.3</w:t>
      </w:r>
      <w:r>
        <w:tab/>
        <w:t>Preventie van schadelijke praktijken</w:t>
      </w:r>
      <w:r>
        <w:tab/>
      </w:r>
      <w:r>
        <w:tab/>
        <w:t>14</w:t>
      </w:r>
    </w:p>
    <w:p w14:paraId="0D12E2AB"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r>
      <w:r>
        <w:tab/>
        <w:t>7.3.1</w:t>
      </w:r>
      <w:r>
        <w:tab/>
        <w:t xml:space="preserve"> Vaststelling van op rechten gebaseerde maatschappelijke en culturele normen</w:t>
      </w:r>
      <w:r>
        <w:tab/>
      </w:r>
      <w:r>
        <w:tab/>
        <w:t>14</w:t>
      </w:r>
    </w:p>
    <w:p w14:paraId="288E78FD"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r>
      <w:r>
        <w:tab/>
        <w:t>7.3.2</w:t>
      </w:r>
      <w:r>
        <w:tab/>
        <w:t xml:space="preserve"> Emancipatie van vrouwen en meisjes</w:t>
      </w:r>
      <w:r>
        <w:tab/>
      </w:r>
      <w:r>
        <w:tab/>
        <w:t>15</w:t>
      </w:r>
    </w:p>
    <w:p w14:paraId="7CC44498"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r>
      <w:r>
        <w:tab/>
        <w:t>7.3.3</w:t>
      </w:r>
      <w:r>
        <w:tab/>
        <w:t xml:space="preserve"> Ontwikkeling van vaardigheden op alle niveaus</w:t>
      </w:r>
      <w:r>
        <w:tab/>
      </w:r>
      <w:r>
        <w:tab/>
        <w:t>17</w:t>
      </w:r>
    </w:p>
    <w:p w14:paraId="10886E63"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r>
      <w:r>
        <w:tab/>
        <w:t>7.3.4</w:t>
      </w:r>
      <w:r>
        <w:tab/>
        <w:t xml:space="preserve"> Bewustwording, publieke dialoog en uitingen van betrokkenheid</w:t>
      </w:r>
      <w:r>
        <w:tab/>
      </w:r>
      <w:r>
        <w:tab/>
        <w:t>18</w:t>
      </w:r>
    </w:p>
    <w:p w14:paraId="5CFF867B"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r>
      <w:r>
        <w:tab/>
        <w:t>7.4</w:t>
      </w:r>
      <w:r>
        <w:tab/>
        <w:t>Beschermende maatregelen en responsieve dienstverlening</w:t>
      </w:r>
      <w:r>
        <w:tab/>
      </w:r>
      <w:r>
        <w:tab/>
        <w:t>19</w:t>
      </w:r>
    </w:p>
    <w:p w14:paraId="51D71791" w14:textId="77777777" w:rsidR="00DB6B74" w:rsidRPr="00DB6B74" w:rsidRDefault="00DB6B74" w:rsidP="00DB6B74">
      <w:pPr>
        <w:tabs>
          <w:tab w:val="right" w:pos="850"/>
          <w:tab w:val="left" w:pos="1134"/>
          <w:tab w:val="left" w:pos="1559"/>
          <w:tab w:val="left" w:pos="1984"/>
          <w:tab w:val="left" w:leader="dot" w:pos="8929"/>
          <w:tab w:val="right" w:pos="9638"/>
        </w:tabs>
        <w:spacing w:after="120"/>
      </w:pPr>
      <w:r>
        <w:tab/>
        <w:t>8.</w:t>
      </w:r>
      <w:r>
        <w:tab/>
        <w:t>Verspreiding en gebruik van de General Recommendation/General Comment en rapportering</w:t>
      </w:r>
      <w:r>
        <w:tab/>
      </w:r>
      <w:r>
        <w:tab/>
        <w:t>21</w:t>
      </w:r>
    </w:p>
    <w:p w14:paraId="43AFEB52" w14:textId="77777777" w:rsidR="00841C2E" w:rsidRDefault="00DB6B74" w:rsidP="00DB6B74">
      <w:pPr>
        <w:tabs>
          <w:tab w:val="right" w:pos="850"/>
          <w:tab w:val="left" w:pos="1134"/>
          <w:tab w:val="left" w:pos="1559"/>
          <w:tab w:val="left" w:pos="1984"/>
          <w:tab w:val="left" w:leader="dot" w:pos="8929"/>
          <w:tab w:val="right" w:pos="9638"/>
        </w:tabs>
        <w:spacing w:after="120"/>
      </w:pPr>
      <w:r>
        <w:tab/>
        <w:t>9.</w:t>
      </w:r>
      <w:r>
        <w:tab/>
        <w:t>Ratificatie van of toetreding tot het verdrag en voorbehouden</w:t>
      </w:r>
      <w:r>
        <w:tab/>
      </w:r>
      <w:r>
        <w:tab/>
        <w:t>21</w:t>
      </w:r>
    </w:p>
    <w:p w14:paraId="4EE373DE" w14:textId="77777777" w:rsidR="00DB6B74" w:rsidRPr="00DB6B74" w:rsidRDefault="00841C2E" w:rsidP="00841C2E">
      <w:pPr>
        <w:pStyle w:val="H1G"/>
        <w:ind w:hanging="283"/>
      </w:pPr>
      <w:r>
        <w:br w:type="page"/>
      </w:r>
      <w:r>
        <w:lastRenderedPageBreak/>
        <w:t>1.</w:t>
      </w:r>
      <w:r>
        <w:tab/>
        <w:t>Inleiding</w:t>
      </w:r>
    </w:p>
    <w:p w14:paraId="06E0E5A4" w14:textId="7945B8A2" w:rsidR="00DB6B74" w:rsidRPr="00DB6B74" w:rsidRDefault="00DB6B74" w:rsidP="00DB6B74">
      <w:pPr>
        <w:pStyle w:val="SingleTxtG"/>
      </w:pPr>
      <w:r>
        <w:t xml:space="preserve">Het Verdrag inzake de uitbanning van alle vormen van discriminatie van vrouwen (CEDAW-Verdrag) en het Verdrag inzake de rechten van het kind (VRK) bevatten juridisch bindende verplichtingen die in zowel algemene als specifieke termen betrekking hebben op de uitbanning van schadelijke praktijken. Het Comité voor de Uitbanning van Discriminatie van Vrouwen en het Comité voor de Rechten van het Kind hebben bij de uitoefening van hun respectieve controlemandaat consequent aandacht gevraagd voor deze praktijken, die van negatieve invloed zijn op vrouwen en kinderen, en dan vooral meisjes. Dankzij dit overlappende mandaat en de gedeelde betrokkenheid om schadelijke praktijken te voorkomen, en daar vervolgens op te reageren met voorzieningen en deze tot slot uit te bannen, waar en hoe ze ook plaatsvinden, hebben het Comité voor het CEDAW-verdrag en het Kinderrechtencomité besloten om deze </w:t>
      </w:r>
      <w:r w:rsidR="00E73A64">
        <w:t>gezamenlijke</w:t>
      </w:r>
      <w:r>
        <w:t xml:space="preserve"> General Recommendation/General Comment op te stellen.</w:t>
      </w:r>
    </w:p>
    <w:p w14:paraId="7CD67DD2" w14:textId="77777777" w:rsidR="00DB6B74" w:rsidRPr="00DB6B74" w:rsidRDefault="00280754" w:rsidP="00280754">
      <w:pPr>
        <w:pStyle w:val="H1G"/>
      </w:pPr>
      <w:r>
        <w:tab/>
        <w:t>2.</w:t>
      </w:r>
      <w:r>
        <w:tab/>
        <w:t>Doel en toepassingsgebied van de General Recommendation/General Comment (GR/GC)</w:t>
      </w:r>
    </w:p>
    <w:p w14:paraId="4BA5D8CD" w14:textId="77777777" w:rsidR="00DB6B74" w:rsidRPr="00DB6B74" w:rsidRDefault="00DB6B74" w:rsidP="00DB6B74">
      <w:pPr>
        <w:pStyle w:val="SingleTxtG"/>
      </w:pPr>
      <w:r>
        <w:t>1.</w:t>
      </w:r>
      <w:r>
        <w:tab/>
        <w:t xml:space="preserve">Het doel van deze gezamenlijke General Recommendation/General Comment is het uitleggen van de verplichtingen van de Staten die partij bij deze verdragen zijn, door het geven van gezaghebbende richtsnoeren voor op te nemen wetgevings-, beleids- en andere passende maatregelen om te waarborgen dat volledig wordt voldaan aan de verplichtingen uit hoofde van beide verdragen om schadelijke praktijken uit te bannen. </w:t>
      </w:r>
    </w:p>
    <w:p w14:paraId="347AFF86" w14:textId="77777777" w:rsidR="00DB6B74" w:rsidRPr="00DB6B74" w:rsidRDefault="00DB6B74" w:rsidP="00DB6B74">
      <w:pPr>
        <w:pStyle w:val="SingleTxtG"/>
      </w:pPr>
      <w:r>
        <w:t>2.</w:t>
      </w:r>
      <w:r>
        <w:tab/>
        <w:t>De Comités erkennen dat schadelijke praktijken van negatieve invloed zijn op volwassen vrouwen, die zij direct ondervinden en/of in hun latere leven als gevolg van de invloed op langere termijn van de praktijken waaraan ze als meisje zijn blootgesteld. Deze GR/GC is derhalve een nadere uitwerking van de verplichtingen van Staten die partij bij het CEDAW-verdrag zijn met betrekking tot de relevante bepalingen over de uitbanning van schadelijke praktijken die van negatieve invloed zijn op de rechten van vrouwen.</w:t>
      </w:r>
    </w:p>
    <w:p w14:paraId="6DA9835B" w14:textId="77777777" w:rsidR="00DB6B74" w:rsidRPr="00DB6B74" w:rsidRDefault="00DB6B74" w:rsidP="00DB6B74">
      <w:pPr>
        <w:pStyle w:val="SingleTxtG"/>
      </w:pPr>
      <w:r>
        <w:t>3.</w:t>
      </w:r>
      <w:r>
        <w:tab/>
        <w:t>Bovendien erkent het Comité dat ook jongens het slachtoffer zijn van geweld, schadelijke praktijken en vooringenomenheid, en dat hun rechten ook ter sprake dienen te komen om deze te beschermen en om geweld op basis van geslacht en verdere vooringenomenheid en genderongelijkheid later in hun leven te voorkomen. Daarom verwijst deze GR/GC ook naar de verplichtingen van de Staten die partij bij het VRK zijn ten aanzien van schadelijke praktijken die van invloed zijn op het genot van de rechten van jongens vanwege discriminatie.</w:t>
      </w:r>
    </w:p>
    <w:p w14:paraId="1B21256F" w14:textId="77777777" w:rsidR="00DB6B74" w:rsidRPr="00DB6B74" w:rsidRDefault="00DB6B74" w:rsidP="00DB6B74">
      <w:pPr>
        <w:pStyle w:val="SingleTxtG"/>
      </w:pPr>
      <w:r>
        <w:t>4.</w:t>
      </w:r>
      <w:r>
        <w:tab/>
        <w:t xml:space="preserve">Deze GR/GC dient te worden gelezen in samenhang met de desbetreffende van beide Comités afkomstige General Recommendations resp. General Comments, en dan in het bijzonder CEDAW GR Nr. 19 (1992) inzake geweld tegen vrouwen, CRC GC Nr. 8 (2006) inzake bescherming tegen lijfstraffen en andere vormen van onmenselijke en vernederende behandeling en CRC Nr. 13 (2011) </w:t>
      </w:r>
      <w:bookmarkStart w:id="0" w:name="_Toc285723365"/>
      <w:bookmarkStart w:id="1" w:name="_Toc285724520"/>
      <w:bookmarkStart w:id="2" w:name="_Toc285724580"/>
      <w:bookmarkStart w:id="3" w:name="_Toc285724727"/>
      <w:bookmarkStart w:id="4" w:name="_Toc285724984"/>
      <w:r>
        <w:t>inzake het recht van het kind op vrijheid bescherming tegen alle vormen van geweld</w:t>
      </w:r>
      <w:bookmarkEnd w:id="0"/>
      <w:bookmarkEnd w:id="1"/>
      <w:bookmarkEnd w:id="2"/>
      <w:bookmarkEnd w:id="3"/>
      <w:bookmarkEnd w:id="4"/>
      <w:r>
        <w:t xml:space="preserve">. De inhoud van CEDAW GR Nr. 14 (1990) over vrouwelijke besnijdenis is met deze GR/GC geactualiseerd. </w:t>
      </w:r>
    </w:p>
    <w:p w14:paraId="61A5D20A" w14:textId="77777777" w:rsidR="00DB6B74" w:rsidRPr="00DB6B74" w:rsidRDefault="00280754" w:rsidP="00280754">
      <w:pPr>
        <w:pStyle w:val="H1G"/>
      </w:pPr>
      <w:r>
        <w:tab/>
        <w:t>3.</w:t>
      </w:r>
      <w:r>
        <w:tab/>
        <w:t>Motivering voor de gezamenlijke General Recommendation/General Comment</w:t>
      </w:r>
    </w:p>
    <w:p w14:paraId="3177A4BF" w14:textId="77777777" w:rsidR="00DB6B74" w:rsidRPr="00DB6B74" w:rsidDel="00373294" w:rsidRDefault="00DB6B74" w:rsidP="00DB6B74">
      <w:pPr>
        <w:pStyle w:val="SingleTxtG"/>
      </w:pPr>
      <w:r>
        <w:t>5.</w:t>
      </w:r>
      <w:r>
        <w:tab/>
        <w:t xml:space="preserve">De CEDAW en CRC Comités merken consequent op dat schadelijke praktijken diep in maatschappelijke houdingen geworteld zijn, waarbij vrouwen en meisjes geacht worden minderwaardig te zijn aan mannen en jongens op basis van stereotiepe rolpatronen. Ook benadrukken zij de gender-dimensie van geweld en geven aan dat geslachts- en gender-gebaseerde attitudes en stereotiepe rollen, ongelijke (machts)verhoudingen en discriminatie </w:t>
      </w:r>
      <w:r>
        <w:lastRenderedPageBreak/>
        <w:t>nog steeds zorgen voor het wijdverbreide bestaan van praktijken die vaak gepaard gaan met geweld of dwang. Het is ook belangrijk om in herinnering te roepen dat de Comités bezorgd zijn over het mede hanteren van deze praktijken om gender-gebaseerd geweld te rechtvaardigen als vorm van “bescherming” of zeggenschap over vrouwen</w:t>
      </w:r>
      <w:r w:rsidRPr="00DB6B74">
        <w:rPr>
          <w:vertAlign w:val="superscript"/>
        </w:rPr>
        <w:footnoteReference w:id="2"/>
      </w:r>
      <w:r>
        <w:t xml:space="preserve"> en kinderen thuis, binnen de gemeenschap, op school, in andere onderwijssituaties en -instellingen, en elders in de maatschappij. Bovendien vragen de Comités aandacht van de Staten die partij zijn voor het feit dat discriminatie op basis van geslacht en gender gedeeltelijk samenvallen met andere factoren die van invloed zijn op vrouwen</w:t>
      </w:r>
      <w:r w:rsidRPr="00DB6B74">
        <w:rPr>
          <w:vertAlign w:val="superscript"/>
        </w:rPr>
        <w:footnoteReference w:id="3"/>
      </w:r>
      <w:r>
        <w:t xml:space="preserve"> en meisjes, en dan met name op diegenen die (gezien worden als te) behoren tot kansarme groepen, en die derhalve meer risico lopen slachtoffer van schadelijke praktijken te worden.</w:t>
      </w:r>
    </w:p>
    <w:p w14:paraId="55F8086E" w14:textId="77777777" w:rsidR="00DB6B74" w:rsidRPr="00DB6B74" w:rsidRDefault="00DB6B74" w:rsidP="00DB6B74">
      <w:pPr>
        <w:pStyle w:val="SingleTxtG"/>
      </w:pPr>
      <w:r>
        <w:t>6.</w:t>
      </w:r>
      <w:r>
        <w:tab/>
        <w:t>Schadelijke praktijken vinden derhalve hun oorsprong in discriminatie op basis van geslacht, gender, leeftijd en andere factoren, en worden vaak gerechtvaardigd met een beroep op sociaal-culturele en religieuze gebruiken en waarden, alsmede op misvattingen in verband met bepaalde kansarme groepen vrouwen en kinderen. Al met al worden schadelijke praktijken vaak in verband gebracht met ernstige vormen van geweld, of zijn een vorm van geweld tegen vrouwen en kinderen. De aard en het vóórkomen van deze praktijken varieert per regio en cultuur; de meest voorkomende en goed gedocumenteerde vormen zijn echter vrouwelijke genitale verminking, kindhuwelijken en gedwongen huwelijken, polygamie, misdrijven in het kader van eerwraak en geweld in verband met de bruidsschat. Aangezien deze praktijken regelmatig bij beide Comités ter sprake komen, en soms aantoonbaar door wetgeving en programma's sterk zijn teruggedrongen, worden ze in deze gezamenlijke GR/GC als kenmerkende voorbeelden gebruikt.</w:t>
      </w:r>
    </w:p>
    <w:p w14:paraId="27684405" w14:textId="77777777" w:rsidR="00DB6B74" w:rsidRPr="00DB6B74" w:rsidRDefault="00DB6B74" w:rsidP="00DB6B74">
      <w:pPr>
        <w:pStyle w:val="SingleTxtG"/>
      </w:pPr>
      <w:r>
        <w:t>7.</w:t>
      </w:r>
      <w:r>
        <w:tab/>
        <w:t xml:space="preserve">Schadelijke praktijken zijn in de meeste landen, waar ook ter wereld, endemisch binnen een groot scala aan gemeenschappen. Sommige praktijken treft men ook aan in regio's of landen waar die niet eerder zijn gedocumenteerd, vooral vanwege migratie, terwijl ze in andere landen waar ze eerder verdwenen waren door een aantal factoren, zoals conflictsituaties, weer de kop opsteken. </w:t>
      </w:r>
    </w:p>
    <w:p w14:paraId="66064869" w14:textId="77777777" w:rsidR="00DB6B74" w:rsidRPr="00DB6B74" w:rsidRDefault="00DB6B74" w:rsidP="00DB6B74">
      <w:pPr>
        <w:pStyle w:val="SingleTxtG"/>
      </w:pPr>
      <w:r>
        <w:t>8.</w:t>
      </w:r>
      <w:r>
        <w:tab/>
        <w:t>Er zijn vele andere praktijken als schadelijke praktijken vastgesteld,</w:t>
      </w:r>
      <w:r>
        <w:rPr>
          <w:vertAlign w:val="superscript"/>
        </w:rPr>
        <w:t xml:space="preserve"> </w:t>
      </w:r>
      <w:r>
        <w:t>die alle sterk verband houden met en versterkt worden door specifieke man/vrouw-rollen op basis van maatschappelijke uitleg en systemen met patriarchale machtsverhoudingen en die soms een uiting zijn van negatieve beeldvorming of discriminerende overtuigingen ten aanzien van bepaalde kansarme groepen vrouwen en kinderen, waaronder mensen met een handicap of albinisme.</w:t>
      </w:r>
      <w:r>
        <w:rPr>
          <w:b/>
        </w:rPr>
        <w:t xml:space="preserve"> </w:t>
      </w:r>
      <w:r>
        <w:t>Tot deze praktijken behoren onder andere: verwaarlozing van meisjes (gekoppeld aan een voorkeursbehandeling voor jongens), extreme voedingsbeperkingen (gedwongen voeding, voedseltaboes, onder meer tijdens de zwangerschap), maagdelijksheidsonderzoek en aanverwante praktijken, vastbinden, littekens of merktekens/tribale tekens aanbrengen, lijfstraffen, steniging, gewelddadige initiatierites, specifieke praktijken voor weduwes, hekserij, kindermoord en incest.</w:t>
      </w:r>
      <w:r w:rsidR="002231EA">
        <w:rPr>
          <w:rStyle w:val="FootnoteReference"/>
        </w:rPr>
        <w:footnoteReference w:id="4"/>
      </w:r>
      <w:r>
        <w:rPr>
          <w:b/>
        </w:rPr>
        <w:t xml:space="preserve"> </w:t>
      </w:r>
      <w:r>
        <w:t>Tot schadelijke praktijken behoren ook aanpassingen aan het lichaam om vrouwen en meisjes knapper of huwbaarder te maken (zoals vetmesten, opsluiting, het gebruik van lipschotels en nekringen (om een langere nek te krijgen)</w:t>
      </w:r>
      <w:r w:rsidRPr="00DB6B74">
        <w:rPr>
          <w:vertAlign w:val="superscript"/>
        </w:rPr>
        <w:footnoteReference w:id="5"/>
      </w:r>
      <w:r>
        <w:t xml:space="preserve">) of in een poging om meisjes te beschermen tegen vroegtijdige zwangerschap of seksuele intimidatie en seksueel geweld (zoals het platstrijken van borsten). Daarnaast ondergaan veel vrouwen en kinderen, overal ter wereld, steeds vaker medische behandelingen en/of plastische chirurgie om te voldoen aan de maatschappelijke normen van het lichaam, en dus niet om medische - of gezondheidsredenen, en wordt op velen dwang uitgeoefend om slank </w:t>
      </w:r>
      <w:r>
        <w:lastRenderedPageBreak/>
        <w:t>te zijn, hetgeen heeft geleid tot een epidemie van eetstoornissen of andere stoornissen die de gezondheid schaden.</w:t>
      </w:r>
    </w:p>
    <w:p w14:paraId="1A14C0C2" w14:textId="77777777" w:rsidR="00DB6B74" w:rsidRPr="00DB6B74" w:rsidRDefault="00280754" w:rsidP="00280754">
      <w:pPr>
        <w:pStyle w:val="H1G"/>
      </w:pPr>
      <w:r>
        <w:tab/>
        <w:t>4.</w:t>
      </w:r>
      <w:r>
        <w:tab/>
        <w:t>Normatieve inhoud van het CEDAW-verdrag en het Kinderrechtenverdrag</w:t>
      </w:r>
    </w:p>
    <w:p w14:paraId="2933996F" w14:textId="77777777" w:rsidR="00DB6B74" w:rsidRPr="00DB6B74" w:rsidRDefault="00DB6B74" w:rsidP="00DB6B74">
      <w:pPr>
        <w:pStyle w:val="SingleTxtG"/>
      </w:pPr>
      <w:r>
        <w:t>9.</w:t>
      </w:r>
      <w:r>
        <w:tab/>
        <w:t>Hoewel het probleem van de schadelijke praktijken nog niet zo bekend was bij het opstellen van het CEDAW-verdrag en het Kinderrechtenverdrag, bevatten beide verdragen bepalingen over schadelijke praktijken als mensenrechtenschendingen en is daarin de verplichting opgelegd aan Staten die er partij bij zijn om maatregelen te treffen ter voorkoming en uitbanning van deze praktijken. Daarnaast brengen de respectieve Comités het probleem steeds vaker ter sprake bij de bestudering van rapporten van Staten die partij bij het betreffende verdrag zijn, bij de daaruit voortvloeiende dialoog met hen en in hun respectieve eindobservaties. Het probleem is door ieder Comité verder uitgewerkt in hun respectieve General Recommendations en General Comments.</w:t>
      </w:r>
      <w:r w:rsidRPr="00DB6B74">
        <w:rPr>
          <w:vertAlign w:val="superscript"/>
        </w:rPr>
        <w:footnoteReference w:id="6"/>
      </w:r>
      <w:r>
        <w:t xml:space="preserve"> </w:t>
      </w:r>
    </w:p>
    <w:p w14:paraId="3B9211B0" w14:textId="77777777" w:rsidR="00DB6B74" w:rsidRPr="00DB6B74" w:rsidRDefault="00DB6B74" w:rsidP="00DB6B74">
      <w:pPr>
        <w:pStyle w:val="SingleTxtG"/>
      </w:pPr>
      <w:r>
        <w:t>10.</w:t>
      </w:r>
      <w:r>
        <w:tab/>
        <w:t>Staten die partij zijn bij het CEDAW-verdrag en het Kinderrechtenverdrag hebben de taak om te voldoen aan hun verplichtingen met betrekking tot respect voor, bescherming van en realisering van rechten van vrouwen en kinderen. Staten die partij bij beide verdragen zijn hebben ook een inspanningsverplichting</w:t>
      </w:r>
      <w:r w:rsidRPr="00DB6B74">
        <w:rPr>
          <w:vertAlign w:val="superscript"/>
        </w:rPr>
        <w:footnoteReference w:id="7"/>
      </w:r>
      <w:r>
        <w:t xml:space="preserve"> om handelingen te voorkomen die afbreuk doen aan de erkenning, het genot of de uitoefening van rechten door vrouwen en kinderen en om ervoor te zorgen dat private actoren zich niet schuldig maken aan discriminatie van vrouwen en meisjes, waaronder gender-gebaseerd geweld in verband het met CEDAW-verdrag of een andere vorm van geweld tegen kinderen in verband met het VRK. </w:t>
      </w:r>
    </w:p>
    <w:p w14:paraId="6DBD6906" w14:textId="77777777" w:rsidR="00DB6B74" w:rsidRPr="00DB6B74" w:rsidRDefault="00DB6B74" w:rsidP="00DB6B74">
      <w:pPr>
        <w:pStyle w:val="SingleTxtG"/>
      </w:pPr>
      <w:r>
        <w:t>11.</w:t>
      </w:r>
      <w:r>
        <w:tab/>
        <w:t>De verdragen schetsen de verplichtingen van de Staten die er partij bij zijn om een duidelijk omlijnd rechtskader vast te stellen waarmee de bescherming en bevordering van mensenrechten wordt geborgd. Een belangrijke eerste stap daarbij is het opnemen van het bepaalde in het CEDAW-verdrag en het VRK in nationale rechtskaders. Zowel het CEDAW Comité als van Kinderrechtencomité benadrukt dat bij wetgeving gericht op de uitbanning van schadelijke praktijken ook passende financiële middelen, implementatie, controle en effectieve naleving behoren.</w:t>
      </w:r>
      <w:r w:rsidRPr="00DB6B74">
        <w:rPr>
          <w:vertAlign w:val="superscript"/>
        </w:rPr>
        <w:footnoteReference w:id="8"/>
      </w:r>
    </w:p>
    <w:p w14:paraId="1672EE17" w14:textId="77777777" w:rsidR="00DB6B74" w:rsidRPr="00DB6B74" w:rsidRDefault="00DB6B74" w:rsidP="00DB6B74">
      <w:pPr>
        <w:pStyle w:val="SingleTxtG"/>
      </w:pPr>
      <w:r>
        <w:t>12.</w:t>
      </w:r>
      <w:r>
        <w:tab/>
        <w:t xml:space="preserve">Bovendien vraagt de beschermingsplicht van Staten die partij bij de verdragen zijn om wettelijke structuren te maken die ervoor zorgen dat schadelijke praktijken terstond, </w:t>
      </w:r>
      <w:r>
        <w:lastRenderedPageBreak/>
        <w:t>onpartijdig en onafhankelijk worden onderzocht, dat er doeltreffende rechtshandhaving is en dat er doeltreffende rechtsmiddelen zijn voor degenen die door die praktijken geschaad zijn. De Comités doen een beroep op de Staten die partij bij de verdragen zijn om schadelijke praktijken uitdrukkelijk bij wet te verbieden, passende straffen op te leggen c.q. de praktijken strafbaar te stellen, in overeenstemming met de ernst van de overtreding/het misdrijf en de veroorzaakte schade, te voorzien in middelen voor preventie, bescherming, herstel, re-integratie en verhaal voor slachtoffers, en om de strijd aan te binden met de straffeloosheid van schadelijke praktijken.</w:t>
      </w:r>
    </w:p>
    <w:p w14:paraId="522492D7" w14:textId="77777777" w:rsidR="00DB6B74" w:rsidRPr="00DB6B74" w:rsidRDefault="00DB6B74" w:rsidP="00DB6B74">
      <w:pPr>
        <w:pStyle w:val="SingleTxtG"/>
      </w:pPr>
      <w:r>
        <w:t>13.</w:t>
      </w:r>
      <w:r>
        <w:tab/>
        <w:t>Aangezien een van de kernverplichtingen van de Staten die partij zijn bij beide verdragen een doeltreffende aanpak van schadelijke praktijken is, zijn voorbehouden op deze en andere relevante artikelen</w:t>
      </w:r>
      <w:r w:rsidRPr="00DB6B74">
        <w:rPr>
          <w:vertAlign w:val="superscript"/>
        </w:rPr>
        <w:footnoteReference w:id="9"/>
      </w:r>
      <w:r>
        <w:t xml:space="preserve">, waardoor hun verplichtingen tot het respecteren, beschermen en realiseren van de rechten van vrouwen en kinderen op een leven zonder schadelijke praktijken sterk beperkt of getemperd worden, onverenigbaar zijn met het doel van beide Verdragen en ontoelaatbaar zijn ingevolge het bepaalde in artikel 28 lid 2 CEDAW-verdrag en artikel 51 lid 2 VRK. </w:t>
      </w:r>
    </w:p>
    <w:p w14:paraId="60221B91" w14:textId="77777777" w:rsidR="00DB6B74" w:rsidRPr="00DB6B74" w:rsidRDefault="00280754" w:rsidP="00280754">
      <w:pPr>
        <w:pStyle w:val="H1G"/>
      </w:pPr>
      <w:r>
        <w:tab/>
        <w:t>5.</w:t>
      </w:r>
      <w:r>
        <w:tab/>
        <w:t>Criteria voor het vaststellen van schadelijke praktijken</w:t>
      </w:r>
    </w:p>
    <w:p w14:paraId="1788853C" w14:textId="77777777" w:rsidR="00DB6B74" w:rsidRPr="00DB6B74" w:rsidRDefault="00DB6B74" w:rsidP="00DB6B74">
      <w:pPr>
        <w:pStyle w:val="SingleTxtG"/>
      </w:pPr>
      <w:r>
        <w:t>14.</w:t>
      </w:r>
      <w:r>
        <w:tab/>
        <w:t xml:space="preserve">Schadelijke praktijken zijn hardnekkige praktijken en gedragingen die ingegeven worden door discriminatie op basis van geslacht, gender, leeftijd en andere factoren, alsmede op meervoudige en/of overlappende vormen van discriminatie die vaak gepaard gaan met geweld, en lichamelijke en/of geestelijke schade of lijden veroorzaken. De schade die deze praktijken aan de slachtoffers toebrengen gaan verder dan de directe lichamelijke en geestelijke gevolgen en hebben vaak ten doel om de erkenning, uitoefening en het genot van mensenrechten en fundamentele vrijheden van vrouwen en kinderen te ondermijnen. Ook zijn ze van negatieve invloed op hun waardigheid, lichamelijke, psychosociale en morele integriteit en ontwikkeling, medezeggenschap, gezondheid, onderwijs, en economische en maatschappelijke status. Deze praktijken vinden derhalve hun weerspiegeling in de activiteiten van het CEDAW-comité en het Kinderrechtencomité. </w:t>
      </w:r>
    </w:p>
    <w:p w14:paraId="6B6C166D" w14:textId="77777777" w:rsidR="00DB6B74" w:rsidRPr="00DB6B74" w:rsidRDefault="00DB6B74" w:rsidP="00DB6B74">
      <w:pPr>
        <w:pStyle w:val="SingleTxtG"/>
      </w:pPr>
      <w:r>
        <w:t>15.</w:t>
      </w:r>
      <w:r>
        <w:tab/>
        <w:t>Om als schadelijk beschouwd te worden, dienen praktijken in het kader van deze GR/GC aan de volgende criteria te voldoen:</w:t>
      </w:r>
    </w:p>
    <w:p w14:paraId="2CA54650" w14:textId="77777777" w:rsidR="00DB6B74" w:rsidRPr="00DB6B74" w:rsidRDefault="00DB6B74" w:rsidP="00280754">
      <w:pPr>
        <w:pStyle w:val="SingleTxtG"/>
        <w:ind w:firstLine="567"/>
      </w:pPr>
      <w:r>
        <w:t>a.</w:t>
      </w:r>
      <w:r>
        <w:tab/>
        <w:t>zij vormen een ontkenning van de waardigheid en/of integriteit van het individu en een schending van mensenrechten en fundamentele vrijheden die in beide verdragen verankerd zijn;</w:t>
      </w:r>
    </w:p>
    <w:p w14:paraId="5B87487F" w14:textId="77777777" w:rsidR="00DB6B74" w:rsidRPr="00DB6B74" w:rsidRDefault="00DB6B74" w:rsidP="00280754">
      <w:pPr>
        <w:pStyle w:val="SingleTxtG"/>
        <w:ind w:firstLine="567"/>
      </w:pPr>
      <w:r>
        <w:t>b.</w:t>
      </w:r>
      <w:r>
        <w:tab/>
        <w:t>zij vormen discriminatie tegen vrouwen of kinderen en zijn schadelijk voorzover zij negatieve gevolgen voor hen als individu of groep hebben, waaronder lichamelijke, geestelijke, economische en maatschappelijke schade en/of geweld en beperkingen in hun vermogen tot volledige deelname aan de maatschappij of de ontwikkeling en realisatie van hun volledige potentieel;</w:t>
      </w:r>
    </w:p>
    <w:p w14:paraId="6FF51D61" w14:textId="77777777" w:rsidR="00DB6B74" w:rsidRPr="00DB6B74" w:rsidRDefault="00DB6B74" w:rsidP="00280754">
      <w:pPr>
        <w:pStyle w:val="SingleTxtG"/>
        <w:ind w:firstLine="567"/>
      </w:pPr>
      <w:r>
        <w:t>c.</w:t>
      </w:r>
      <w:r>
        <w:tab/>
        <w:t>het zijn traditionele, (opnieuw) opkomende praktijken waarvoor regels gelden en/of die in stand gehouden worden door maatschappelijke normen waarbij de man nog steeds dominant is en vrouwen en kinderen ondergeschikt zijn op basis van geslacht, gender, leeftijd en andere overlappende factoren;</w:t>
      </w:r>
    </w:p>
    <w:p w14:paraId="29750C00" w14:textId="77777777" w:rsidR="00DB6B74" w:rsidRPr="00DB6B74" w:rsidRDefault="00DB6B74" w:rsidP="00280754">
      <w:pPr>
        <w:pStyle w:val="SingleTxtG"/>
        <w:ind w:firstLine="567"/>
      </w:pPr>
      <w:r>
        <w:t>d.</w:t>
      </w:r>
      <w:r>
        <w:tab/>
        <w:t>zij worden aan vrouwen en kinderen opgelegd door de familie, leden van de gemeenschap, of de maatschappij als geheel, ongeacht of het slachtoffer daarvoor volledige, vrije en weloverwogen instemming geeft c.q. kan geven.</w:t>
      </w:r>
    </w:p>
    <w:p w14:paraId="0A5A15EC" w14:textId="77777777" w:rsidR="00DB6B74" w:rsidRPr="00DB6B74" w:rsidRDefault="00280754" w:rsidP="00280754">
      <w:pPr>
        <w:pStyle w:val="H1G"/>
      </w:pPr>
      <w:r>
        <w:lastRenderedPageBreak/>
        <w:tab/>
        <w:t>6.</w:t>
      </w:r>
      <w:r>
        <w:tab/>
        <w:t>Oorzaken, vormen en uitingen van schadelijke praktijken</w:t>
      </w:r>
    </w:p>
    <w:p w14:paraId="3D07C1DF" w14:textId="77777777" w:rsidR="00DB6B74" w:rsidRPr="00DB6B74" w:rsidRDefault="00DB6B74" w:rsidP="00DB6B74">
      <w:pPr>
        <w:pStyle w:val="SingleTxtG"/>
      </w:pPr>
      <w:r>
        <w:t>16.</w:t>
      </w:r>
      <w:r>
        <w:tab/>
        <w:t xml:space="preserve">De oorzaken van schadelijke praktijken hebben meerdere dimensies en omvatten stereotiepe rollen gebaseerd op geslacht en gender, de vooringenomen superioriteit c.q. inferioriteit van het geslacht, pogingen om zeggenschap uit te oefenen over het lichaam en de seksualiteit van vrouwen en meisjes, maatschappelijke ongelijkheid en het feit dat machtsstructuren veelvuldig door mannen gedomineerd worden. Inspanningen om de praktijken te veranderen dienen deze onderliggende systemische en structurele oorzaken van conventionele, (opnieuw) opkomende schadelijke praktijken aan te pakken, meisjes en vrouwen, maar ook jongens en mannen te emanciperen, om zodoende bij te dragen aan de transformatie van conventionele culturele houdingen die schadelijke praktijken vergoelijken, te handelen als belangenbehartigers van die verandering en het vermogen van de gemeenschap om deze processen te ondersteunen te versterken. </w:t>
      </w:r>
    </w:p>
    <w:p w14:paraId="6DA55842" w14:textId="77777777" w:rsidR="00DB6B74" w:rsidRPr="00DB6B74" w:rsidRDefault="00DB6B74" w:rsidP="00DB6B74">
      <w:pPr>
        <w:pStyle w:val="SingleTxtG"/>
      </w:pPr>
      <w:r>
        <w:t>17.</w:t>
      </w:r>
      <w:r>
        <w:tab/>
        <w:t xml:space="preserve">Ondanks inspanningen ter bestrijding van schadelijke praktijken is het totale aantal vrouwen en meisjes dat er door getroffen wordt nog steeds buitengewoon hoog, en kan zelfs nog verder stijgen, bijvoorbeeld in conflictsituaties en vanwege technologische ontwikkelingen zoals het wijdverbreide gebruik van sociale media. Door het bestuderen van de rapportages van de Staten die partij bij de verdragen zijn, hebben de Comités opgemerkt dat de schadelijke praktijken nog vaak gebezigd worden door leden van praktiserende gemeenschappen die als emigrant of asielzoeker elders zijn gaan wonen. Maatschappelijke normen en culturele overtuigingen die deze schadelijke praktijken schragen zijn hardnekkig en krijgen soms zelfs extra nadruk van een gemeenschap in een poging hun culturele identiteit in een nieuwe omgeving te behouden, met name in landen waar vrouwen en meisjes meer persoonlijke vrijheid in hun genderrol genieten. </w:t>
      </w:r>
    </w:p>
    <w:p w14:paraId="7B37CA6B" w14:textId="77777777" w:rsidR="00DB6B74" w:rsidRPr="00DB6B74" w:rsidRDefault="00280754" w:rsidP="00280754">
      <w:pPr>
        <w:pStyle w:val="H23G"/>
      </w:pPr>
      <w:r>
        <w:tab/>
        <w:t>6.1.</w:t>
      </w:r>
      <w:r>
        <w:tab/>
        <w:t>Vrouwelijke genitale verminking</w:t>
      </w:r>
    </w:p>
    <w:p w14:paraId="265D612F" w14:textId="77777777" w:rsidR="00DB6B74" w:rsidRPr="00DB6B74" w:rsidRDefault="00DB6B74" w:rsidP="00DB6B74">
      <w:pPr>
        <w:pStyle w:val="SingleTxtG"/>
      </w:pPr>
      <w:r>
        <w:t>18.</w:t>
      </w:r>
      <w:r>
        <w:tab/>
        <w:t xml:space="preserve">Vrouwelijke genitale verminking of vrouwenbesnijdenis is de praktijk waarbij de uiterlijke vrouwelijke genitalia geheel of gedeeltelijk worden verwijderd, of waarbij het geslachtsorgaan van de vrouw op andere wijze schade wordt toegebracht, zonder dat er medische of gezondheidsredenen voor zijn. In het kader van deze GR/GC wordt ook wel de term vrouwelijke genitale verminking (VGV) gebruikt. VGV vindt overal ter wereld plaats, en in sommige culturen is het zelfs een voorwaarde om te mogen trouwen en gelooft men dat het een doeltreffende methode is om de seksualiteit van vrouwen en meisjes in bedwang te houden. De praktijk kan leiden tot een scala aan gezondheidsproblemen, zowel direct als op de lange termijn, waaronder heftige pijn, shock, infecties en complicaties bij de bevalling, waardoor zowel de moeder als het kind worden getroffen, mentale of gynaecologische problemen op de lange termijn (bijv. fistels) en overlijden. De WHO en UNICEF schatten dat er tussen de 100 en 140 miljoen meisjes en vrouwen wereldwijd een of andere vorm van VGV hebben ondergaan. </w:t>
      </w:r>
    </w:p>
    <w:p w14:paraId="67661AB8" w14:textId="77777777" w:rsidR="00DB6B74" w:rsidRPr="00280754" w:rsidRDefault="00280754" w:rsidP="00280754">
      <w:pPr>
        <w:pStyle w:val="H23G"/>
      </w:pPr>
      <w:r>
        <w:tab/>
        <w:t>6.2.</w:t>
      </w:r>
      <w:r>
        <w:tab/>
        <w:t>Kindhuwelijken en andere gedwongen huwelijken</w:t>
      </w:r>
    </w:p>
    <w:p w14:paraId="531BEC18" w14:textId="77777777" w:rsidR="00DB6B74" w:rsidRPr="00DB6B74" w:rsidRDefault="00DB6B74" w:rsidP="00DB6B74">
      <w:pPr>
        <w:pStyle w:val="SingleTxtG"/>
      </w:pPr>
      <w:r>
        <w:t>19.</w:t>
      </w:r>
      <w:r>
        <w:tab/>
        <w:t>Een kindhuwelijk, ook wel een vroeg huwelijk genoemd, is een huwelijk waarbij tenminste een van de partijen jonger dan 18 is. Bij de overweldigende meerderheid van officiële en inofficiële kindhuwelijken gaat het om meisjes, al trouwen er soms ook jongens onder de 18. Een kindhuwelijk wordt gezien als een vorm van gedwongen huwelijk aangezien door een partij of beide partijen geen volledige, vrije en weloverwogen instemming is gegeven. Om de ontwikkelingsfase en autonomie in de besluitvorming die van invloed is op zijn of haar leven te respecteren, kan het huwelijk van een rijp meisje onder de 18 in uitzonderlijke omstandigheden worden toegestaan, mits zij tenminste 16 jaar is, en die beslissing wordt genomen door een rechter op basis van uitzonderlijke legitieme gronden die in de wet zijn vastgelegd en met bewijs van de rijpheid, waarbij culturen en tradities buiten beschouwing blijven.</w:t>
      </w:r>
    </w:p>
    <w:p w14:paraId="713D3A18" w14:textId="77777777" w:rsidR="0001210F" w:rsidRPr="00DB6B74" w:rsidRDefault="00DB6B74" w:rsidP="00DB6B74">
      <w:pPr>
        <w:pStyle w:val="SingleTxtG"/>
      </w:pPr>
      <w:r>
        <w:lastRenderedPageBreak/>
        <w:t>20.</w:t>
      </w:r>
      <w:r>
        <w:tab/>
        <w:t xml:space="preserve"> In sommige contexten verloven of trouwen kinderen op heel jonge leeftijd, en in veel gevallen worden jonge meisjes gedwongen om met een man te trouwen die decennia ouder kan zijn. In 2012 meldde UNICEF dat er overal ter wereld bijna 400 miljoen vrouwen tussen de 20 en 49 waren die vóór hun 18e verjaardag in het huwelijk waren getreden.</w:t>
      </w:r>
      <w:r w:rsidR="0001210F" w:rsidRPr="00DB6B74">
        <w:rPr>
          <w:vertAlign w:val="superscript"/>
        </w:rPr>
        <w:footnoteReference w:id="10"/>
      </w:r>
      <w:r>
        <w:t xml:space="preserve"> Derhalve hebben het CEDAW-comité en het Kinderrechtencomité bijzondere aandacht geschonken aan gevallen waarin meisjes niet met hun volledige, vrije, en weloverwogen instemming waren getrouwd, zoals meisjes die lichamelijk en mentaal te jong waren om een volwassen leven te leiden c.q. bewuste en weloverwogen besluiten te nemen, en er dus nog niet aan toe waren om met een huwelijk in te stemmen. Andere voorbeelden zijn gevallen waarin de voogden wettelijk bevoegd zijn om in te stemmen met een huwelijk van een meisje in overeenstemming met gewoonte- of formeel recht, en waarin meisjes dus getrouwd waren zonder hun recht op het vrijwillig aangaan van een huwelijk te kunnen uitoefenen. </w:t>
      </w:r>
    </w:p>
    <w:p w14:paraId="54EAA1B4" w14:textId="77777777" w:rsidR="00DB6B74" w:rsidRPr="00DB6B74" w:rsidRDefault="00DB6B74" w:rsidP="00DB6B74">
      <w:pPr>
        <w:pStyle w:val="SingleTxtG"/>
      </w:pPr>
      <w:r>
        <w:t>21.</w:t>
      </w:r>
      <w:r>
        <w:tab/>
        <w:t>Kindhuwelijken gaan vaak gepaard met meerdere zwangerschappen en geboortes op jonge leeftijd, waardoor de morbiditeits- en mortaliteitscijfers van de moeders hoger dan gemiddeld liggen. Wereldwijd is het overlijden in verband met een zwangerschap de voornaamste oorzaak van mortaliteit voor gehuwde én ongehuwde meisjes tussen de 15 en 19. De kindersterfte onder kinderen van zeer jonge moeders ligt hoger dan en soms wel twee keer zo hoog als onder kinderen van oudere moeders. Bij kindhuwelijken en/of gedwongen huwelijken, vooral waar de bruidegom aanzienlijk ouder is, en waar meisjes maar beperkt naar school zijn geweest, mogen de meisjes over het algemeen maar beperkt besluiten nemen over hun eigen leven. Kindhuwelijken dragen ook bij aan meer schooluitval, met name onder meisjes, of gedwongen uitsluiting van school, en vormen een hoger risico op huiselijk geweld en beperkt genot van hun recht van vrije beweging. Gedwongen huwelijken leiden er vaak toe dat meisjes gebrek aan persoonlijke en economische zelfstandigheid hebben, proberen te vluchten, zichzelf verbranden of anderszins zelfmoord plegen om een huwelijk te voorkomen of te ontvluchten.</w:t>
      </w:r>
    </w:p>
    <w:p w14:paraId="484A6150" w14:textId="77777777" w:rsidR="00DB6B74" w:rsidRPr="00DB6B74" w:rsidRDefault="00DB6B74" w:rsidP="00DB6B74">
      <w:pPr>
        <w:pStyle w:val="SingleTxtG"/>
      </w:pPr>
      <w:r>
        <w:t>22.</w:t>
      </w:r>
      <w:r>
        <w:tab/>
        <w:t xml:space="preserve">Gedwongen huwelijken zijn huwelijken waar door een partij of beide partijen niet persoonlijk volledige en vrije instemming aan de verbintenis is gegeven. Naast de hiervoor genoemde kindhuwelijken kunnen gedwongen huwelijken zich ook in andere vormen voordoen, waaronder huwelijken waarbij een uitruil plaatsvindt (bijv. </w:t>
      </w:r>
      <w:r>
        <w:rPr>
          <w:i/>
        </w:rPr>
        <w:t>baad</w:t>
      </w:r>
      <w:r>
        <w:t xml:space="preserve"> en </w:t>
      </w:r>
      <w:r>
        <w:rPr>
          <w:i/>
        </w:rPr>
        <w:t>baadal</w:t>
      </w:r>
      <w:r>
        <w:t>), gearrangeerde huwelijken en weduwes die gedwongen worden te trouwen met een familielid van haar overleden echtgenoot. In sommige contexten vindt een gedwongen huwelijk ook wel plaats omdat een verkrachter dan zijn straf kan ontlopen door met het slachtoffer te trouwen, gewoonlijk met instemming van haar familie. Onder immigranten kunnen gedwongen huwelijken ook plaatsvinden zodat een meisje trouwt binnen de oorspronkelijke gemeenschap van de familie of om minder directe verwanten of anderen te voorzien van papieren ten behoeve van migratie en/of een leven in een bepaald land. Er wordt ook steeds vaker door gewapende groeperingen in conflictsituaties gebruik gemaakt van gedwongen huwelijken en voor meisjes kan het de manier zijn om aan een armoedig bestaan na de conflictsituatie te ontsnappen.</w:t>
      </w:r>
      <w:r w:rsidRPr="00DB6B74">
        <w:rPr>
          <w:vertAlign w:val="superscript"/>
        </w:rPr>
        <w:footnoteReference w:id="11"/>
      </w:r>
      <w:r>
        <w:t xml:space="preserve"> Een gedwongen huwelijk kan ook worden gedefinieerd als een huwelijk dat een der partijen niet mag beëindigen of verlaten.</w:t>
      </w:r>
    </w:p>
    <w:p w14:paraId="68841B9E" w14:textId="77777777" w:rsidR="00DB6B74" w:rsidRPr="00DB6B74" w:rsidRDefault="00DB6B74" w:rsidP="00DB6B74">
      <w:pPr>
        <w:pStyle w:val="SingleTxtG"/>
      </w:pPr>
      <w:r>
        <w:t>23.</w:t>
      </w:r>
      <w:r>
        <w:tab/>
        <w:t xml:space="preserve">Met het betalen van een bruidsschat en bruidsprijs, die varieert onder gemeenschappen waar dat gebruik is, kunnen vrouwen en meisjes kwetsbaarder worden voor geweld en andere schadelijke praktijken. De echtgenoot of diens familieleden kunnen zich bezighouden met het toebrengen van lichamelijk of geestelijk geweld, waaronder moord, verbranding en zuuraanvallen, indien niet wordt voldaan aan de verwachtingen met betrekking tot het betalen van de bruidsschat of de hoogte ervan. In sommige gevallen stemmen families in met een tijdelijk “huwelijk” van hun dochter in ruil voor financieel gewin, wat ook wel een gearrangeerd huwelijk heet, hetgeen een vorm van mensenhandel is. Staten die partij zijn bij het Facultatief Protocol inzake de verkoop van kinderen, </w:t>
      </w:r>
      <w:r>
        <w:lastRenderedPageBreak/>
        <w:t>kinderprostitutie en kinderpornografie (OP-SC) bij het VRK hebben expliciete verplichtingen met betrekking tot kind- en/of gedwongen huwelijken waarmee een bruidsschat of bruidsprijs is gemoeid, aangezien er dan sprake kan zijn van de 'verkoop van een kind', zoals gedefinieerd in artikel 2 sub a van het Protocol.</w:t>
      </w:r>
      <w:r w:rsidRPr="00DB6B74">
        <w:rPr>
          <w:vertAlign w:val="superscript"/>
        </w:rPr>
        <w:footnoteReference w:id="12"/>
      </w:r>
      <w:r>
        <w:t xml:space="preserve"> Het CEDAW-comité heeft herhaaldelijk benadrukt dat het toestaan van een door betaling of verkrijging van een hogere status gearrangeerd huwelijk een schending vormt van het recht op de vrije partnerkeuze, en heeft in zijn GR Nr. 29 (2013) uiteengezet dat een huwelijk met die praktijk niet geldig zou moeten zijn en die afspraken door Staten die partij bij het verdrag zijn niet als handhaafbaar erkend zouden moeten worden.</w:t>
      </w:r>
    </w:p>
    <w:p w14:paraId="2F246945" w14:textId="77777777" w:rsidR="00DB6B74" w:rsidRPr="00DB6B74" w:rsidRDefault="00280754" w:rsidP="00280754">
      <w:pPr>
        <w:pStyle w:val="H23G"/>
      </w:pPr>
      <w:r>
        <w:tab/>
        <w:t>6.3.</w:t>
      </w:r>
      <w:r>
        <w:tab/>
        <w:t xml:space="preserve">Polygamie </w:t>
      </w:r>
    </w:p>
    <w:p w14:paraId="22E752FC" w14:textId="77777777" w:rsidR="00DB6B74" w:rsidRPr="00DB6B74" w:rsidRDefault="00DB6B74" w:rsidP="00DB6B74">
      <w:pPr>
        <w:pStyle w:val="SingleTxtG"/>
      </w:pPr>
      <w:r>
        <w:t>24.</w:t>
      </w:r>
      <w:r>
        <w:tab/>
        <w:t>Polygamie is strijdig met de waardigheid van vrouwen en meisjes en schendt hun mensenrechten en vrijheden, waaronder het recht op gelijkheid en bescherming binnen het gezin. Polygamie varieert tussen en binnen verschillende juridische en maatschappelijke contexten en de invloed ervan is onder meer: schade aan de gezondheid van echtgenotes, waarmee lichamelijk, geestelijk en sociaal welzijn bedoeld wordt; lichamelijke schade en ontneming van rechten en vrijheden waar echtgenotes potentieel aan lijden; en, emotionele en lichamelijke schade aan kinderen, vaak met ernstige gevolgen voor hun welzijn.</w:t>
      </w:r>
    </w:p>
    <w:p w14:paraId="1F675C00" w14:textId="77777777" w:rsidR="00DB6B74" w:rsidRPr="00DB6B74" w:rsidRDefault="00DB6B74" w:rsidP="00DB6B74">
      <w:pPr>
        <w:pStyle w:val="SingleTxtG"/>
      </w:pPr>
      <w:r>
        <w:t>25.</w:t>
      </w:r>
      <w:r>
        <w:tab/>
        <w:t xml:space="preserve">Hoewel een groot aantal Staten die partij bij het verdrag zijn ervoor hebben gekozen om polygamie te verbieden, komt het in sommige landen nog steeds voor, al dan niet legaal. Hoewel polygame gezinssystemen door de geschiedenis heen in bepaalde boerengemeenschappen functioneel waren, om daarmee meer arbeidskrachten voor een individuele familie te waarborgen, is in onderzoek daarentegen aangetoond dat polygamie vaak tot grotere armoede in de familie leidt, en dan met name op het platteland. </w:t>
      </w:r>
    </w:p>
    <w:p w14:paraId="5B41264B" w14:textId="7857723A" w:rsidR="00DB6B74" w:rsidRPr="00DB6B74" w:rsidRDefault="00DB6B74" w:rsidP="00DB6B74">
      <w:pPr>
        <w:pStyle w:val="SingleTxtG"/>
      </w:pPr>
      <w:r>
        <w:t>26.</w:t>
      </w:r>
      <w:r>
        <w:tab/>
        <w:t xml:space="preserve">Er bevinden zich zowel vrouwen als meisjes in polygame verbintenissen, waarbij er bewijs bestaat dat het waarschijnlijker is dat een meisje een verloving of huwelijk met een veel oudere man aangaat dan </w:t>
      </w:r>
      <w:r w:rsidR="00E73A64">
        <w:t>andersom</w:t>
      </w:r>
      <w:r>
        <w:t xml:space="preserve">, waardoor zij meer risico op geweld en schending van haar rechten loopt. Het naast elkaar bestaan van formele wetten en religieuze/persoonlijke status en traditionele gewoonterechten en praktijken dragen vaak bij aan de hardnekkigheid van dit gebruik. In sommige Staten die partij bij het verdrag zijn is polygamie bij civiele wetgeving toegestaan. Grondwettelijke en andere bepalingen die het recht op cultuur en religie beschermen worden soms ook gebruikt als rechtvaardiging voor wetten en praktijken die polygame verbintenissen toestaan. </w:t>
      </w:r>
    </w:p>
    <w:p w14:paraId="6D66F139" w14:textId="77777777" w:rsidR="00DB6B74" w:rsidRPr="00DB6B74" w:rsidRDefault="00DB6B74" w:rsidP="00DB6B74">
      <w:pPr>
        <w:pStyle w:val="SingleTxtG"/>
      </w:pPr>
      <w:r>
        <w:t>27.</w:t>
      </w:r>
      <w:r>
        <w:tab/>
        <w:t>Staten die partij zijn bij het CEDAW-verdrag hebben expliciete verplichtingen om polygamie te ontmoedigen en te verbieden, aangezien het daarmee in strijd is</w:t>
      </w:r>
      <w:r w:rsidRPr="00DB6B74">
        <w:rPr>
          <w:b/>
          <w:vertAlign w:val="superscript"/>
        </w:rPr>
        <w:footnoteReference w:id="13"/>
      </w:r>
      <w:r>
        <w:t>. Het CEDAW-comité betoogt ook dat polygamie aanzienlijke gevolgen heeft voor het economische welzijn van vrouwen en hun kinderen</w:t>
      </w:r>
      <w:r w:rsidRPr="00DB6B74">
        <w:rPr>
          <w:b/>
          <w:vertAlign w:val="superscript"/>
        </w:rPr>
        <w:footnoteReference w:id="14"/>
      </w:r>
      <w:r>
        <w:t xml:space="preserve">. </w:t>
      </w:r>
    </w:p>
    <w:p w14:paraId="2140F9B7" w14:textId="77777777" w:rsidR="00DB6B74" w:rsidRPr="00280754" w:rsidRDefault="00280754" w:rsidP="00280754">
      <w:pPr>
        <w:pStyle w:val="H23G"/>
      </w:pPr>
      <w:r>
        <w:tab/>
        <w:t>6.4.</w:t>
      </w:r>
      <w:r>
        <w:tab/>
        <w:t xml:space="preserve">Misdrijven in het kader van eerwraak </w:t>
      </w:r>
    </w:p>
    <w:p w14:paraId="54B8AB6F" w14:textId="77777777" w:rsidR="00DB6B74" w:rsidRPr="00DB6B74" w:rsidRDefault="00DB6B74" w:rsidP="00DB6B74">
      <w:pPr>
        <w:pStyle w:val="SingleTxtG"/>
      </w:pPr>
      <w:r>
        <w:t>28.</w:t>
      </w:r>
      <w:r>
        <w:tab/>
        <w:t xml:space="preserve">Misdrijven in het kader van eerwraak zijn geweldplegingen waarvan in onevenredige mate, doch niet uitsluitend meisjes en vrouwen het slachtoffer zijn, omdat familieleden vinden dat bepaald verdacht, vermeend of feitelijk gedrag de eer van de familie of de gemeenschap aantast. Tot die gedragingen behoren onder meer: een seksuele verhouding vóór het huwelijk hebben, weigeren in te stemmen met een gearrangeerd huwelijk, trouwen zonder goedkeuring van de ouders, overspel, een verzoek tot echtscheiding, kleding dragen die naar het oordeel van de gemeenschap onaanvaardbaar is, buitenshuis werken of in het algemeen niet voldoen aan de stereotiepe man-/vrouwrol. Misdrijven in het kader van </w:t>
      </w:r>
      <w:r>
        <w:lastRenderedPageBreak/>
        <w:t>eerwraak kunnen ook gepleegd worden tegen meisjes en vrouwen omdat zij het slachtoffer van seksueel geweld zijn.</w:t>
      </w:r>
    </w:p>
    <w:p w14:paraId="4B95A5E1" w14:textId="77777777" w:rsidR="00DB6B74" w:rsidRPr="00DB6B74" w:rsidRDefault="00DB6B74" w:rsidP="00DB6B74">
      <w:pPr>
        <w:pStyle w:val="SingleTxtG"/>
      </w:pPr>
      <w:r>
        <w:t>29.</w:t>
      </w:r>
      <w:r>
        <w:tab/>
        <w:t xml:space="preserve">Een van deze misdrijven is moord, vaak gepleegd door de echtgenoot, een mannelijk of vrouwelijk familielid of een lid van de gemeenschap van het slachtoffer. Misdrijven in het kader van eerwraak worden vaak niet beschouwd als misdrijven tegen vrouwen maar worden juist door de gemeenschap goedgekeurd, omdat daarmee de integriteit van haar culturele, traditionele, gebruikelijke of religieuze normen wordt beschermd en/of hersteld na vermeende morele overtredingen. In sommige contexten wordt het op grond van nationale wetgeving of de praktische toepassing ervan c.q. de afwezigheid van wetgeving toegestaan om een eergerelateerd verweer als ontlastende of verzachtende omstandigheid aan te voeren voor degenen die deze misdrijven hebben begaan, hetgeen dan leidt tot een lagere straf of straffeloosheid. Daarnaast kan vervolging van deze misdrijven belet worden doordat mensen die er meer vanaf weten niet bereid zijn om aanvullend bewijs te leveren. </w:t>
      </w:r>
    </w:p>
    <w:p w14:paraId="47097970" w14:textId="77777777" w:rsidR="00DB6B74" w:rsidRPr="00280754" w:rsidRDefault="00280754" w:rsidP="00280754">
      <w:pPr>
        <w:pStyle w:val="H1G"/>
      </w:pPr>
      <w:r>
        <w:tab/>
        <w:t>7.</w:t>
      </w:r>
      <w:r>
        <w:tab/>
        <w:t>Holistisch kader voor de aanpak van schadelijke praktijken</w:t>
      </w:r>
    </w:p>
    <w:p w14:paraId="51848937" w14:textId="0C6DACB9" w:rsidR="0001210F" w:rsidRPr="00DB6B74" w:rsidRDefault="00DB6B74" w:rsidP="00DB6B74">
      <w:pPr>
        <w:pStyle w:val="SingleTxtG"/>
      </w:pPr>
      <w:r>
        <w:t>30.</w:t>
      </w:r>
      <w:r>
        <w:tab/>
        <w:t>Zowel het CEDAW-verdrag als het Kinderrechtenverdrag verwijzen specifiek naar de uitbanning van schadelijke praktijken. Staten die partij bij het CEDAW-verdrag zijn hebben de verplichting om passende wetgeving, beleid en maatregelen op te stellen en aan te nemen, en om te zorgen dat de invoering daarvan doeltreffend specifieke obstakels, barrières en weerstand tegen de uitbanning van discriminatie wegneemt, waarbij die discriminatie aanleiding geeft tot schadelijke praktijken en geweld tegen vrouwen (ar</w:t>
      </w:r>
      <w:r w:rsidR="00E73A64">
        <w:t>t</w:t>
      </w:r>
      <w:r>
        <w:t>t. 2 en 3). Staten die partij bij het verdrag zijn dienen wel het directe belang en de gepastheid van de getroffen maatregelen te kunnen aantonen, waarbij er allereerst voor gezorgd wordt dat de mensenrechten van vrouwen niet worden geschonden, en aantonen of die maatregelen het gewenste effect en resultaat opleveren. Voorts geldt dat de verplichting van die Staten om gericht beleid te voeren onverwijld is, en zijn er geen gronden, waaronder culturele of religieuze gronden, die vertraging daarin rechtvaardigen. Staten die partij bij het CEDAW-verdrag zijn hebben voorts de plicht om alle passende maatregelen te treffen, waaronder tijdelijk bijzondere maatregelen (art. 4 lid 1)</w:t>
      </w:r>
      <w:r w:rsidR="0001210F" w:rsidRPr="00DB6B74">
        <w:rPr>
          <w:vertAlign w:val="superscript"/>
        </w:rPr>
        <w:footnoteReference w:id="15"/>
      </w:r>
      <w:r>
        <w:t xml:space="preserve"> om “het sociale en culturele gedragspatroon van de man en vrouw te veranderen teneinde te komen tot de uitbanning van vooroordelen en van gewoonten en van alle andere gebruiken die zijn gebaseerd op de gedachte dat van de minderwaardigheid of meerderwaardigheid van één van beide geslagen of op de stereotiepe rollen van mannen en vrouwen” (art. 5 sub a) en om ervoor te zorgen dat “verlovingen en huwelijken van kinderen geen rechtsgevolg hebben” (art. 16 lid 2).</w:t>
      </w:r>
    </w:p>
    <w:p w14:paraId="6490E06A" w14:textId="77777777" w:rsidR="00DB6B74" w:rsidRPr="00DB6B74" w:rsidRDefault="00DB6B74" w:rsidP="00DB6B74">
      <w:pPr>
        <w:pStyle w:val="SingleTxtG"/>
      </w:pPr>
      <w:r>
        <w:t>31.</w:t>
      </w:r>
      <w:r>
        <w:tab/>
        <w:t>Anderzijds verplicht het VRK Staten die daar partij bij zijn om “alle doeltreffende en passende maatregelen te nemen teneinde traditionele gebruiken die schadelijk zijn voor de gezondheid van kinderen af te schaffen” (art. 24 lid 3). Daarnaast voorziet het VRK in het recht van het kind op bescherming tegen alle vormen van geweld, waaronder lichamelijk, seksueel of geestelijk geweld (art. 19) en eist van Staten die er partij bij zijn dat geen enkel kind wordt onderworpen aan foltering of andere wrede, onmenselijke of onterende behandeling of bestraffing (art. 37 sub a).  Het VRK past de vier algemene beginselen ervan toe op de kwestie schadelijke praktijken, nl. bescherming tegen discriminatie (art. 2), het belang van het kind (art. 3 lid 1),</w:t>
      </w:r>
      <w:r w:rsidRPr="00DB6B74">
        <w:rPr>
          <w:vertAlign w:val="superscript"/>
        </w:rPr>
        <w:footnoteReference w:id="16"/>
      </w:r>
      <w:r>
        <w:t xml:space="preserve"> het recht op leven, overleven en ontwikkeling (art. 6) en het recht van het kind gehoord te worden (art. 12).</w:t>
      </w:r>
    </w:p>
    <w:p w14:paraId="24FE2FC1" w14:textId="77777777" w:rsidR="00DB6B74" w:rsidRPr="00DB6B74" w:rsidRDefault="00DB6B74" w:rsidP="00DB6B74">
      <w:pPr>
        <w:pStyle w:val="SingleTxtG"/>
      </w:pPr>
      <w:r>
        <w:t>32.</w:t>
      </w:r>
      <w:r>
        <w:tab/>
        <w:t xml:space="preserve">In beide gevallen vraagt het doeltreffend voorkómen en uitbannen van schadelijke praktijken de bepaling van een goed gedefinieerde, op rechten gebaseerde en plaatselijk relevante holistische strategie waarin ondersteunende wettelijke en beleidsmaatregelen </w:t>
      </w:r>
      <w:r>
        <w:lastRenderedPageBreak/>
        <w:t>worden opgenomen, waaronder maatschappelijke maatregelen die worden gecombineerd met een bijpassende politieke betrokkenheid en verantwoordingsplicht op elk niveau. De in het CEDAW-verdrag en het VRK uiteengezette verplichtingen bieden de basis voor de ontwikkeling van een holistische strategie om schadelijke praktijken uit te bannen, waarvan de elementen in deze GR/GC zijn vastgelegd.</w:t>
      </w:r>
    </w:p>
    <w:p w14:paraId="467AD282" w14:textId="77777777" w:rsidR="00DB6B74" w:rsidRPr="00DB6B74" w:rsidRDefault="00DB6B74" w:rsidP="00DB6B74">
      <w:pPr>
        <w:pStyle w:val="SingleTxtG"/>
      </w:pPr>
      <w:r>
        <w:t>33.</w:t>
      </w:r>
      <w:r>
        <w:tab/>
        <w:t xml:space="preserve"> Een dergelijke holistische strategie dient zowel geïntegreerd als horizontaal en verticaal gecoördineerd te worden, en opgenomen in nationale pogingen om alle vormen van schadelijke praktijken te voorkomen en op te vangen. Horizontale coördinatie vraagt om organisatie door de verschillende beleidsterreinen heen, waaronder gezondheidszorg, onderwijs, justitie, sociaal welzijn, rechtshandhaving, immigratie en asiel, communicatie en media. Ook verticale coördinatie vraagt om organisatie tussen lokale, regionale en nationale spelers en met traditionele en religieuze leiders. Om dit proces mogelijk te maken valt te overwegen om verantwoordelijkheid voor dit werk te delegeren aan een bestaande of nog specifiek op te richten entiteit op hoog niveau, in samenwerking met alle belanghebbenden.</w:t>
      </w:r>
    </w:p>
    <w:p w14:paraId="70EAA56F" w14:textId="77777777" w:rsidR="00DB6B74" w:rsidRPr="00DB6B74" w:rsidRDefault="00DB6B74" w:rsidP="00DB6B74">
      <w:pPr>
        <w:pStyle w:val="SingleTxtG"/>
      </w:pPr>
      <w:r>
        <w:t>34.</w:t>
      </w:r>
      <w:r>
        <w:tab/>
        <w:t>De implementatie van een holistische strategie vraagt uiteraard om toereikende organisatorische, technische, financiële en personele middelen met daarnaast passende maatregelen en instrumenten, zoals regels, beleid, plannen en budgetten. Daarnaast hebben Staten die partij bij het verdrag zijn de verplichting om te zorgen dat er een onafhankelijk volgsysteem is waarmee wordt bijgehouden hoeveel vooruitgang er geboekt is bij de bescherming van vrouwen en kinderen tegen schadelijke praktijken en de realisatie van hun rechten.</w:t>
      </w:r>
    </w:p>
    <w:p w14:paraId="74D975DA" w14:textId="77777777" w:rsidR="00DB6B74" w:rsidRPr="00DB6B74" w:rsidRDefault="00DB6B74" w:rsidP="00DB6B74">
      <w:pPr>
        <w:pStyle w:val="SingleTxtG"/>
      </w:pPr>
      <w:r>
        <w:t>35.</w:t>
      </w:r>
      <w:r>
        <w:tab/>
        <w:t>Ook dient er een breed scala aan andere belanghebbenden betrokken te worden bij strategieën die gericht zijn op het uitbannen van schadelijke praktijken, waaronder nationale onafhankelijke mensenrechteninstellingen, beroepsbeoefenaren in de gezondheidszorg, het onderwijs en rechtshandhaving, het maatschappelijk middenveld en degenen die zich met de schadelijke praktijken inlaten.</w:t>
      </w:r>
    </w:p>
    <w:p w14:paraId="558B2700" w14:textId="77777777" w:rsidR="00DB6B74" w:rsidRPr="00280754" w:rsidRDefault="00280754" w:rsidP="00280754">
      <w:pPr>
        <w:pStyle w:val="H23G"/>
      </w:pPr>
      <w:r>
        <w:tab/>
        <w:t>7.1</w:t>
      </w:r>
      <w:r>
        <w:tab/>
        <w:t>Gegevensverzameling en -controle</w:t>
      </w:r>
    </w:p>
    <w:p w14:paraId="5664201D" w14:textId="63A357D7" w:rsidR="00DB6B74" w:rsidRPr="00DB6B74" w:rsidRDefault="00DB6B74" w:rsidP="00DB6B74">
      <w:pPr>
        <w:pStyle w:val="SingleTxtG"/>
      </w:pPr>
      <w:r>
        <w:t>36.</w:t>
      </w:r>
      <w:r>
        <w:tab/>
        <w:t xml:space="preserve">De periodieke en uitgebreide verzameling, analyse, verspreiding en gebruik van kwantitatieve en kwalitatieve gegevens is van groot belang om te zorgen voor doeltreffend beleid, de ontwikkeling van passende strategieën en de inzet van acties alsmede voor de evaluatie van de invloed daarvan en de </w:t>
      </w:r>
      <w:r w:rsidR="00E73A64">
        <w:t>voortgangscontrole</w:t>
      </w:r>
      <w:r>
        <w:t xml:space="preserve"> van de uitbanning van schadelijke praktijken en vaststelling van situaties waarin deze (weer) opkomen. Dankzij de beschikbaarheid van gegevens kunnen trends bestudeerd en relevante verbanden worden gelegd tussen de invoering van beleid en doeltreffende programma's door de Staat en andere organisaties en de bijbehorende veranderingen in houding, gedrag, praktijken en de mate waarin die voorkomen. Gegevens die uitgesplitst zijn naar geslacht, leeftijd, geografische locatie, sociaaleconomische status, opleidingsniveau en andere belangrijke factoren zijn essentieel voor het vaststellen van achtergestelde groepen vrouwen en kinderen of groepen vrouwen en kinderen die een hoog risico lopen, aan de hand waarvan beleid en maatregelen ter bestrijding van schadelijke praktijken wordt gemaakt c.q. worden getroffen. </w:t>
      </w:r>
    </w:p>
    <w:p w14:paraId="5A30CEB4" w14:textId="77777777" w:rsidR="00DB6B74" w:rsidRPr="00DB6B74" w:rsidRDefault="00DB6B74" w:rsidP="00DB6B74">
      <w:pPr>
        <w:pStyle w:val="SingleTxtG"/>
      </w:pPr>
      <w:r>
        <w:t>37.</w:t>
      </w:r>
      <w:r>
        <w:tab/>
        <w:t xml:space="preserve">Desondanks blijven uitgesplitste gegevens over schadelijke praktijken beperkt en is een vergelijking tussen landen zelden mogelijk; dat leidt mettertijd tot beperkt inzicht in de mate en de ontwikkeling van het probleem, de vaststelling van toerekende en passende gerichte maatregelen. </w:t>
      </w:r>
    </w:p>
    <w:p w14:paraId="1D76A4E3" w14:textId="77777777" w:rsidR="00DB6B74" w:rsidRPr="00DB6B74" w:rsidRDefault="00DB6B74" w:rsidP="00DB6B74">
      <w:pPr>
        <w:pStyle w:val="SingleTxtG"/>
      </w:pPr>
      <w:r>
        <w:t>38.</w:t>
      </w:r>
      <w:r>
        <w:tab/>
      </w:r>
      <w:r>
        <w:rPr>
          <w:b/>
        </w:rPr>
        <w:t>Het Comité adviseert Staten die partij bij de verdragen zijn:</w:t>
      </w:r>
    </w:p>
    <w:p w14:paraId="6BA0559B" w14:textId="77777777" w:rsidR="00DB6B74" w:rsidRPr="00DB6B74" w:rsidRDefault="00DB6B74" w:rsidP="00280754">
      <w:pPr>
        <w:pStyle w:val="SingleTxtG"/>
        <w:ind w:firstLine="567"/>
      </w:pPr>
      <w:r>
        <w:t>(a)</w:t>
      </w:r>
      <w:r>
        <w:tab/>
        <w:t xml:space="preserve">prioriteit te geven aan de periodieke verzameling, analyse, verspreiding en gebruik van kwantitatieve en kwalitatieve gegevens over schadelijke praktijken, uitgesplitst naar geslacht, leeftijd, geografische locatie, sociaaleconomische status, opleidingsniveau en andere belangrijke factoren, en te zorgen dat er voor deze activiteiten voldoende middelen en mensen beschikbaar zijn. Er dienen systemen voor de periodieke verzameling van gegevens </w:t>
      </w:r>
      <w:r>
        <w:lastRenderedPageBreak/>
        <w:t xml:space="preserve">gemaakt en/of onderhouden te worden binnen de gezondheidszorg, sociale voorzieningen, onderwijs, justitie en rechtshandhaving voor zaken die met bescherming te maken hebben. </w:t>
      </w:r>
    </w:p>
    <w:p w14:paraId="0100FD8B" w14:textId="77777777" w:rsidR="00DB6B74" w:rsidRPr="00DB6B74" w:rsidRDefault="00DB6B74" w:rsidP="00280754">
      <w:pPr>
        <w:pStyle w:val="SingleTxtG"/>
        <w:ind w:firstLine="567"/>
      </w:pPr>
      <w:r>
        <w:t>(b)</w:t>
      </w:r>
      <w:r>
        <w:tab/>
        <w:t>gegevens te verzamelen met behulp van nationale demografische onderzoeken en onderzoeken naar bepaalde indicatoren alsmede volkstellingen, die aangevuld kunnen worden met gegevens uit onderzoeken naar huishoudens die een goede vertegenwoordiging van de bevolking geven. Gegevens uit kwalitatief onderzoek dienen te worden verzameld door focusgroepgesprekken, diepgaande interviews met belangrijke informanten uit een breed scala aan belanghebbenden, gestructureerde observaties, social mapping en andere passende methodes.</w:t>
      </w:r>
    </w:p>
    <w:p w14:paraId="1E0B7612" w14:textId="77777777" w:rsidR="00DB6B74" w:rsidRPr="00280754" w:rsidRDefault="00280754" w:rsidP="00280754">
      <w:pPr>
        <w:pStyle w:val="H23G"/>
      </w:pPr>
      <w:r>
        <w:tab/>
        <w:t>7.2.</w:t>
      </w:r>
      <w:r>
        <w:tab/>
        <w:t>Wet- en regelgeving en de handhaving ervan</w:t>
      </w:r>
    </w:p>
    <w:p w14:paraId="38BD4956" w14:textId="77777777" w:rsidR="00DB6B74" w:rsidRPr="00DB6B74" w:rsidRDefault="00DB6B74" w:rsidP="00DB6B74">
      <w:pPr>
        <w:pStyle w:val="SingleTxtG"/>
      </w:pPr>
      <w:r>
        <w:t>39.</w:t>
      </w:r>
      <w:r>
        <w:tab/>
        <w:t>Een belangrijk element in iedere holistische strategie is de ontwikkeling, vaststelling, invoering van en controle op relevante wetgeving. Elke Staat die partij bij de verdragen is heeft de verplichting</w:t>
      </w:r>
      <w:r w:rsidRPr="00DB6B74">
        <w:rPr>
          <w:vertAlign w:val="superscript"/>
        </w:rPr>
        <w:footnoteReference w:id="17"/>
      </w:r>
      <w:r>
        <w:t xml:space="preserve"> om een heldere boodschap te sturen waarmee schadelijke praktijken worden afgekeurd, wettelijke bescherming aan slachtoffers te bieden, de Staat en andere organisaties in staat te stellen vrouwen en kinderen die risico lopen bescherming, passende hulp en zorg te bieden en te zorgen dat genoegdoening beschikbaar is en een einde te maken aan de straffeloosheid ervan. </w:t>
      </w:r>
    </w:p>
    <w:p w14:paraId="50B34172" w14:textId="77777777" w:rsidR="00DB6B74" w:rsidRPr="00DB6B74" w:rsidRDefault="00DB6B74" w:rsidP="00DB6B74">
      <w:pPr>
        <w:pStyle w:val="SingleTxtG"/>
      </w:pPr>
      <w:r>
        <w:t>40.</w:t>
      </w:r>
      <w:r>
        <w:tab/>
        <w:t>Het louter vaststellen van wetgeving is echter onvoldoende voor een doeltreffende bestrijding van schadelijke praktijken. In overeenstemming met de vereisten van zorgvuldigheid dient wetgeving derhalve te worden aangevuld met een uitgebreide reeks maatregelen waarmee de invoering en handhaving ervan, en de opvolging, controle en evaluatie van de bereikte resultaten mogelijk wordt.</w:t>
      </w:r>
    </w:p>
    <w:p w14:paraId="07E28271" w14:textId="77777777" w:rsidR="00DB6B74" w:rsidRPr="00DB6B74" w:rsidRDefault="00DB6B74" w:rsidP="00DB6B74">
      <w:pPr>
        <w:pStyle w:val="SingleTxtG"/>
      </w:pPr>
      <w:r>
        <w:t>41.</w:t>
      </w:r>
      <w:r>
        <w:tab/>
        <w:t xml:space="preserve">In strijd met de verplichting van Staten die partij bij beide verdragen zijn handhaven veel van hen wettelijke bepalingen waarmee schadelijke praktijken worden gerechtvaardigd, toegestaan of die daaruit voortvloeien, zoals wetgeving op grond waarvan kindhuwelijken zijn toegestaan en het verweer van "de aangetaste eer” als ontlastende of verzachtende omstandigheid voor misdrijven die tegen meisjes en vrouwen zijn gepleegd, of wetgeving op grond waarvan iemand die aan verkrachting en/of andere seksuele misdrijven schuldig is bevonden zijn straf kan ontlopen door met het slachtoffer te trouwen. </w:t>
      </w:r>
    </w:p>
    <w:p w14:paraId="17B2DC3B" w14:textId="77777777" w:rsidR="00DB6B74" w:rsidRPr="00DB6B74" w:rsidRDefault="00DB6B74" w:rsidP="00DB6B74">
      <w:pPr>
        <w:pStyle w:val="SingleTxtG"/>
      </w:pPr>
      <w:r>
        <w:t>42.</w:t>
      </w:r>
      <w:r>
        <w:tab/>
        <w:t xml:space="preserve">In Staten die partij bij de verdragen zijn en die meerdere rechtssystemen hebben, zelfs waar schadelijke praktijken uitdrukkelijk bij wet verboden zijn, kan het zijn dat een verbod niet doeltreffend wordt gehandhaafd vanwege eventuele gewoonte-, traditionele of religieuze wetten die schadelijke praktijken feitelijk ondersteunen. </w:t>
      </w:r>
    </w:p>
    <w:p w14:paraId="43B7793B" w14:textId="77777777" w:rsidR="00DB6B74" w:rsidRPr="00DB6B74" w:rsidRDefault="00DB6B74" w:rsidP="00DB6B74">
      <w:pPr>
        <w:pStyle w:val="SingleTxtG"/>
      </w:pPr>
      <w:r>
        <w:t>43.</w:t>
      </w:r>
      <w:r>
        <w:tab/>
        <w:t xml:space="preserve">Vooroordelen en een gering vermogen onder rechters in gewoonte- en religieuze rechtbanken of in traditionele berechtingsmechanismen om zich te richten op de rechten van vrouwen en kinderen en de overtuiging dat zaken die onder de rechtssfeer van die gewoonterechtsystemen vallen niet door de Staat of een ander gerechtelijk orgaan hoeven te worden beoordeeld of herzien, verhinderen of beperken de toegang tot de rechter voor slachtoffers van schadelijke praktijken. </w:t>
      </w:r>
    </w:p>
    <w:p w14:paraId="70B2B64E" w14:textId="77777777" w:rsidR="00DB6B74" w:rsidRPr="00DB6B74" w:rsidRDefault="00DB6B74" w:rsidP="00DB6B74">
      <w:pPr>
        <w:pStyle w:val="SingleTxtG"/>
      </w:pPr>
      <w:r>
        <w:t>44.</w:t>
      </w:r>
      <w:r>
        <w:tab/>
        <w:t xml:space="preserve">De volledige en inclusieve zeggenschap van de betreffende belanghebbenden bij het opstellen van wetgeving tegen schadelijke praktijken kan ervoor zorgen dat de primaire zorgen in verband met de praktijk nauwkeurig worden vastgesteld en aangepakt. Voor dit proces is het van groot belang dat gemeenschappen waarin deze praktijken worden gebezigd, andere relevante belanghebbenden en mensen uit het maatschappelijk middenveld daarbij betrokken worden en dat om hun inbreng gevraagd wordt. Er dient echter wel voor gewaakt te worden dat de heersende houding en maatschappelijke normen die schadelijke praktijken </w:t>
      </w:r>
      <w:r>
        <w:lastRenderedPageBreak/>
        <w:t xml:space="preserve">rechtvaardigen er niet toe leiden dat de pogingen tot het aannemen en handhaven van wetgeving aan kracht verliezen. </w:t>
      </w:r>
    </w:p>
    <w:p w14:paraId="1308C16E" w14:textId="77777777" w:rsidR="00DB6B74" w:rsidRPr="00DB6B74" w:rsidRDefault="00DB6B74" w:rsidP="00DB6B74">
      <w:pPr>
        <w:pStyle w:val="SingleTxtG"/>
      </w:pPr>
      <w:r>
        <w:t>45.</w:t>
      </w:r>
      <w:r>
        <w:tab/>
        <w:t>Veel Staten die partij zijn hebben maatregelen getroffen om met decentralisatie en delegatie de overheidsbevoegdheid te verplaatsen, maar dat laat onverlet hun verplichting tot het aannemen van wetgeving die schadelijke praktijken verbiedt en die binnen het hele rechtsgebied van toepassing is. Er dienen waarborgen te zijn zodat decentralisatie niet tot discriminatie leidt bij de bescherming van vrouwen en kinderen tegen schadelijke praktijken in verschillende regio's en gebieden waar een andere cultuur heerst. Decentrale overheidsinstanties dienen te worden toegerust met de benodigde personele, financiële, technische en andere middelen voor de doeltreffende handhaving van wetgeving die gericht is op de uitbanning van schadelijke praktijken.</w:t>
      </w:r>
    </w:p>
    <w:p w14:paraId="51F14C70" w14:textId="77777777" w:rsidR="00DB6B74" w:rsidRPr="00DB6B74" w:rsidRDefault="00DB6B74" w:rsidP="00DB6B74">
      <w:pPr>
        <w:pStyle w:val="SingleTxtG"/>
      </w:pPr>
      <w:r>
        <w:t>46.</w:t>
      </w:r>
      <w:r>
        <w:tab/>
        <w:t xml:space="preserve">Culturele groeperingen die zich met schadelijke praktijken bezighouden kunnen bijdragen aan de verspreiding daarvan buiten de nationale grenzen, en waar dat gebeurt zijn er passende maatregelen nodig om die verspreiding te beteugelen. </w:t>
      </w:r>
    </w:p>
    <w:p w14:paraId="310E365C" w14:textId="77777777" w:rsidR="00DB6B74" w:rsidRPr="00DB6B74" w:rsidRDefault="00DB6B74" w:rsidP="00DB6B74">
      <w:pPr>
        <w:pStyle w:val="SingleTxtG"/>
      </w:pPr>
      <w:r>
        <w:t>47.</w:t>
      </w:r>
      <w:r>
        <w:tab/>
        <w:t xml:space="preserve">Nationale mensenrechtenorganisaties hebben een belangrijke rol in het bevorderen en beschermen van mensenrechten, waaronder het recht van individuen om gevrijwaard te blijven van schadelijke praktijken, en in het vergroten van het publieke bewustzijn van die rechten. </w:t>
      </w:r>
    </w:p>
    <w:p w14:paraId="094840D1" w14:textId="77777777" w:rsidR="00DB6B74" w:rsidRPr="00DB6B74" w:rsidRDefault="00DB6B74" w:rsidP="00DB6B74">
      <w:pPr>
        <w:pStyle w:val="SingleTxtG"/>
      </w:pPr>
      <w:r>
        <w:t>48.</w:t>
      </w:r>
      <w:r>
        <w:tab/>
        <w:t xml:space="preserve">Personen die diensten aan vrouwen en kinderen verlenen, met name medisch en onderwijzend personeel, zijn in een unieke positie om feitelijke of potentiële slachtoffers van schadelijke praktijken in kaart te brengen. Zij zijn echter vaak gehouden aan een geheimhoudingsplicht die in strijd kan zijn met de meldingsplicht wanneer er daadwerkelijk sprake is van een schadelijke praktijk of deze zich mogelijk kan voordoen. Dat dient ondervangen te worden door specifieke regels op grond waarvan dergelijke incidenten verplicht gemeld dienen te worden. </w:t>
      </w:r>
    </w:p>
    <w:p w14:paraId="33EB39CA" w14:textId="77777777" w:rsidR="00DB6B74" w:rsidRPr="00DB6B74" w:rsidRDefault="00DB6B74" w:rsidP="00DB6B74">
      <w:pPr>
        <w:pStyle w:val="SingleTxtG"/>
      </w:pPr>
      <w:r>
        <w:t>49.</w:t>
      </w:r>
      <w:r>
        <w:tab/>
        <w:t>In gevallen waarbij medische beroepsbeoefenaren of overheidsdienaren/ambtenaren betrokken zijn bij c.q. medeplichtig zijn aan de uitvoering van schadelijke praktijken, dienen hun status en verantwoordelijkheid, waaronder de meldingsplicht, te worden gezien als een verzwarende omstandigheid bij de vaststelling van de strafmaat (administratiefrechtelijke of strafrechtelijke sancties) zoals het intrekken van een beroepsvergunning of beëindiging van de arbeidsovereenkomst, waaraan uiteraard wel waarschuwingen vooraf zijn gegaan. Stelselmatige training voor de betreffende beroepsbeoefenaren wordt daarbij als een doeltreffende preventieve maatregel gezien.</w:t>
      </w:r>
    </w:p>
    <w:p w14:paraId="6214C622" w14:textId="77777777" w:rsidR="00DB6B74" w:rsidRPr="00DB6B74" w:rsidRDefault="00DB6B74" w:rsidP="00DB6B74">
      <w:pPr>
        <w:pStyle w:val="SingleTxtG"/>
      </w:pPr>
      <w:r>
        <w:t>50.</w:t>
      </w:r>
      <w:r>
        <w:tab/>
        <w:t>Hoewel strafrechtelijke sancties consequent ten uitvoer dienen te worden gelegd op manieren die bijdragen aan de preventie en uitbanning van schadelijke praktijken dienen Staten die partij bij de verdragen zijn ook rekening te houden met mogelijke dreigementen aan het adres van en negatieve invloed op slachtoffers, waaronder vergeldingsacties.</w:t>
      </w:r>
    </w:p>
    <w:p w14:paraId="5201F8B1" w14:textId="77777777" w:rsidR="00DB6B74" w:rsidRPr="00DB6B74" w:rsidRDefault="00DB6B74" w:rsidP="00DB6B74">
      <w:pPr>
        <w:pStyle w:val="SingleTxtG"/>
      </w:pPr>
      <w:r>
        <w:t>51.</w:t>
      </w:r>
      <w:r>
        <w:tab/>
        <w:t>Mogelijk is financiële schadevergoeding in gebieden waar de praktijken wijdverbreid zijn niet haalbaar. In alle gevallen dienen vrouwen en kinderen die door schadelijke praktijken getroffen zijn echter wel toegang te hebben tot wettelijke rechtsmiddelen, slachtofferhulp en revalidatie alsmede maatschappelijke en economische kansen.</w:t>
      </w:r>
    </w:p>
    <w:p w14:paraId="30AE7F2F" w14:textId="77777777" w:rsidR="00DB6B74" w:rsidRPr="00DB6B74" w:rsidRDefault="00DB6B74" w:rsidP="00DB6B74">
      <w:pPr>
        <w:pStyle w:val="SingleTxtG"/>
      </w:pPr>
      <w:r>
        <w:t>52.</w:t>
      </w:r>
      <w:r>
        <w:tab/>
        <w:t xml:space="preserve">Het belang van het kind en de bescherming van de rechten van meisjes en vrouwen dient ook altijd mede in overweging te worden genomen en er dienen de benodigde voorwaarden gecreëerd te worden om hen in staat te stellen hun standpunt te uiten en ervoor te zorgen dat hun mening voldoende meegewogen wordt. Ook dient zorgvuldig meegewogen te worden wat de mogelijke invloed van de ontbinding van kindhuwelijken en/of gedwongen huwelijken en teruggave c.q. terugbetaling van een bruidsschat of bruidsprijs op vrouwen of kinderen is. </w:t>
      </w:r>
    </w:p>
    <w:p w14:paraId="31520298" w14:textId="77777777" w:rsidR="00DB6B74" w:rsidRPr="00DB6B74" w:rsidRDefault="00DB6B74" w:rsidP="00DB6B74">
      <w:pPr>
        <w:pStyle w:val="SingleTxtG"/>
      </w:pPr>
      <w:r>
        <w:t>53.</w:t>
      </w:r>
      <w:r>
        <w:tab/>
        <w:t xml:space="preserve">Staten die partij bij de verdragen zijn, en dan met name functionarissen die zich bezig houden met immigratie- en asielzaken, dienen zich er bewust van te zijn dat meisjes en </w:t>
      </w:r>
      <w:r>
        <w:lastRenderedPageBreak/>
        <w:t>vrouwen hun land van herkomst mogelijk zijn ontvlucht om aan schadelijke praktijken te ontkomen. Dergelijke functionarissen dienen passende training te krijgen met oog voor cultuur, wetgeving en man-/vrouwrollen in de maatregelen die nodig zijn om hen te beschermen.</w:t>
      </w:r>
    </w:p>
    <w:p w14:paraId="323A56DD" w14:textId="77777777" w:rsidR="00DB6B74" w:rsidRPr="00DB6B74" w:rsidRDefault="00DB6B74" w:rsidP="00DB6B74">
      <w:pPr>
        <w:pStyle w:val="SingleTxtG"/>
        <w:rPr>
          <w:b/>
        </w:rPr>
      </w:pPr>
      <w:r>
        <w:t>54.</w:t>
      </w:r>
      <w:r>
        <w:rPr>
          <w:b/>
        </w:rPr>
        <w:tab/>
        <w:t>De Comités adviseren Staten die partij bij de verdragen zijn om wetgeving aan te nemen</w:t>
      </w:r>
      <w:r>
        <w:t xml:space="preserve"> </w:t>
      </w:r>
      <w:r>
        <w:rPr>
          <w:b/>
        </w:rPr>
        <w:t>of te wijzigen met het oog op een doeltreffende aanpak en uitbanning van schadelijke praktijken.</w:t>
      </w:r>
      <w:r>
        <w:t xml:space="preserve"> </w:t>
      </w:r>
      <w:r>
        <w:rPr>
          <w:b/>
        </w:rPr>
        <w:t>Daarbij dient elke Staat die partij bij de verdragen is ervoor te zorgen dat:</w:t>
      </w:r>
    </w:p>
    <w:p w14:paraId="0323275E" w14:textId="77777777" w:rsidR="00DB6B74" w:rsidRPr="00DB6B74" w:rsidRDefault="00DB6B74" w:rsidP="00280754">
      <w:pPr>
        <w:pStyle w:val="SingleTxtG"/>
        <w:ind w:firstLine="567"/>
        <w:rPr>
          <w:b/>
        </w:rPr>
      </w:pPr>
      <w:r>
        <w:t>(a)</w:t>
      </w:r>
      <w:r>
        <w:tab/>
        <w:t>er sprake is van medezeggenschap en iedere denkbare groep betrokken wordt bij het proces waarbij wetgeving tot stand komt. Daartoe dienen zij gerichte pleitbezorgings-, bewustwordings- en maatschappelijke mobilisatiemaatregelen te treffen om een breed gedragen publieke kennis van en steun aan de totstandkoming en verspreiding van die wetgeving te genereren;</w:t>
      </w:r>
    </w:p>
    <w:p w14:paraId="76A9F4C5" w14:textId="77777777" w:rsidR="00DB6B74" w:rsidRPr="00DB6B74" w:rsidRDefault="00DB6B74" w:rsidP="00280754">
      <w:pPr>
        <w:pStyle w:val="SingleTxtG"/>
        <w:ind w:firstLine="567"/>
        <w:rPr>
          <w:b/>
        </w:rPr>
      </w:pPr>
      <w:r>
        <w:t>(b)</w:t>
      </w:r>
      <w:r>
        <w:tab/>
        <w:t>de wetgeving volledig voldoet aan de relevante verplichtingen, zoals vermeld in het CEDAW-verdrag en het VRK, en andere internationale mensenrechtennormen met een verbod op schadelijke praktijken en deze wetgeving prevaleert boven gewoonte-, traditionele of religieuze wetten op grond waarvan schadelijke praktijken zijn toegestaan, worden gedoogd of zijn voorgeschreven, en dan met name in landen waar meerdere rechtssystemen naast elkaar bestaan;</w:t>
      </w:r>
    </w:p>
    <w:p w14:paraId="71202F8A" w14:textId="77777777" w:rsidR="00DB6B74" w:rsidRPr="00DB6B74" w:rsidRDefault="00DB6B74" w:rsidP="00280754">
      <w:pPr>
        <w:pStyle w:val="SingleTxtG"/>
        <w:ind w:firstLine="567"/>
        <w:rPr>
          <w:b/>
        </w:rPr>
      </w:pPr>
      <w:r>
        <w:t>(c)</w:t>
      </w:r>
      <w:r>
        <w:tab/>
        <w:t>alle wetgeving op grond waarvan schadelijke praktijken worden gedoogd, toegestaan of daartoe leiden, per direct wordt herroepen, waaronder gewoonterecht of traditionele c.q. religieuze wetten, en wetgeving op grond waarvan het verweer van "eerherstel” als verweer of verzachtende omstandigheid bij het plegen van misdrijven in het kader van eerwraak wordt aanvaard.</w:t>
      </w:r>
    </w:p>
    <w:p w14:paraId="7ACCA95B" w14:textId="77777777" w:rsidR="00DB6B74" w:rsidRPr="00DB6B74" w:rsidRDefault="00DB6B74" w:rsidP="00280754">
      <w:pPr>
        <w:pStyle w:val="SingleTxtG"/>
        <w:ind w:firstLine="567"/>
        <w:rPr>
          <w:b/>
        </w:rPr>
      </w:pPr>
      <w:r>
        <w:t>(d)</w:t>
      </w:r>
      <w:r>
        <w:tab/>
        <w:t>de wetgeving consequent en alomvattend is en gedetailleerde richtlijnen biedt voor preventie, hulpverlening en toezicht, en hulp aan slachtoffers, waaronder hulp voor lichamelijk en geestelijk herstel en re-integratie in de maatschappij en aangevuld wordt met toereikende civiel- en/of administratiefrechtelijke bepalingen.</w:t>
      </w:r>
    </w:p>
    <w:p w14:paraId="1889FB60" w14:textId="77777777" w:rsidR="00DB6B74" w:rsidRPr="00DB6B74" w:rsidRDefault="00DB6B74" w:rsidP="00280754">
      <w:pPr>
        <w:pStyle w:val="SingleTxtG"/>
        <w:ind w:firstLine="567"/>
        <w:rPr>
          <w:b/>
        </w:rPr>
      </w:pPr>
      <w:r>
        <w:t>(e)</w:t>
      </w:r>
      <w:r>
        <w:tab/>
        <w:t xml:space="preserve">de wetgeving het probleem van de schadelijke praktijken (waaronder discriminatie op basis van geslacht, gender, leeftijd en andere dwarsdoorsnijdende factoren) op adequate wijze bij de oorsprong aanpakt, onder meer door het bieden van een basis voor het treffen van tijdelijk bijzondere maatregelen, en zich richt op de mensenrechten en behoeften van de slachtoffers, en eveneens volledig rekening houdt met de belangen van kinderen en vrouwen; </w:t>
      </w:r>
    </w:p>
    <w:p w14:paraId="007D5A56" w14:textId="77777777" w:rsidR="00DB6B74" w:rsidRPr="00DB6B74" w:rsidRDefault="00DB6B74" w:rsidP="00280754">
      <w:pPr>
        <w:pStyle w:val="SingleTxtG"/>
        <w:ind w:firstLine="567"/>
        <w:rPr>
          <w:b/>
        </w:rPr>
      </w:pPr>
      <w:r>
        <w:t>(f)</w:t>
      </w:r>
      <w:r>
        <w:tab/>
        <w:t xml:space="preserve">de minimum wettelijke leeftijd voor het aangaan van een huwelijk, met of zonder goedkeuring van ouders, op 18 wordt gesteld. Wanneer uitzonderingen op een huwelijk op jongere leeftijd in buitengewone omstandigheden zijn toegestaan, is de minimumleeftijd minstens 16, zijn gronden voor het krijgen van toestemming legitiem en nauwkeurig in de wet omschreven, en kan een huwelijk alleen door de rechter worden toegestaan nadat het kind of beide kinderen in persoon voor de rechter zijn verschenen en hebben verklaard dat er sprake is van volledige, vrijwillige en weloverwogen instemming; </w:t>
      </w:r>
    </w:p>
    <w:p w14:paraId="63FF3B27" w14:textId="77777777" w:rsidR="00DB6B74" w:rsidRPr="00DB6B74" w:rsidRDefault="00DB6B74" w:rsidP="00280754">
      <w:pPr>
        <w:pStyle w:val="SingleTxtG"/>
        <w:ind w:firstLine="567"/>
      </w:pPr>
      <w:r>
        <w:t>(g)</w:t>
      </w:r>
      <w:r>
        <w:tab/>
        <w:t>het wettelijk verplicht wordt om aangifte van een huwelijk te doen, en die verplichting doeltreffend geregeld wordt met behulp van bewustwordingscampagnes, voorlichting en het bestaan van een toereikende infrastructuur waardoor aangifte voor iedereen binnen het rechtsgebied toegankelijk is.</w:t>
      </w:r>
    </w:p>
    <w:p w14:paraId="518D43ED" w14:textId="77777777" w:rsidR="00DB6B74" w:rsidRPr="00DB6B74" w:rsidRDefault="00DB6B74" w:rsidP="00280754">
      <w:pPr>
        <w:pStyle w:val="SingleTxtG"/>
        <w:ind w:firstLine="567"/>
        <w:rPr>
          <w:b/>
        </w:rPr>
      </w:pPr>
      <w:r>
        <w:t>(h)</w:t>
      </w:r>
      <w:r>
        <w:tab/>
        <w:t>er een systeem wordt opgezet waarbij het nationaal verplicht en voor iedereen toegankelijk is om gratis aangifte van geboortes te doen, zodat schadelijke praktijken, waaronder kindhuwelijken doeltreffend kunnen worden voorkomen.</w:t>
      </w:r>
    </w:p>
    <w:p w14:paraId="3373AA99" w14:textId="77777777" w:rsidR="00DB6B74" w:rsidRPr="00DB6B74" w:rsidRDefault="00DB6B74" w:rsidP="00280754">
      <w:pPr>
        <w:pStyle w:val="SingleTxtG"/>
        <w:ind w:firstLine="567"/>
        <w:rPr>
          <w:b/>
        </w:rPr>
      </w:pPr>
      <w:r>
        <w:t>(i)</w:t>
      </w:r>
      <w:r>
        <w:tab/>
        <w:t xml:space="preserve">dienen nationale mensenrechtenorganisaties de bevoegdheid te krijgen om te oordelen over en onderzoek te doen naar afzonderlijke klachten en verzoeken, ook waar deze </w:t>
      </w:r>
      <w:r>
        <w:lastRenderedPageBreak/>
        <w:t>rechtstreeks of namens vrouwen of kinderen zijn ingediend, een en ander in vertrouwelijkheid, op kindvriendelijke wijze en met oog voor het geslacht van de indiener.</w:t>
      </w:r>
    </w:p>
    <w:p w14:paraId="77647EB4" w14:textId="77777777" w:rsidR="00DB6B74" w:rsidRPr="00DB6B74" w:rsidRDefault="00DB6B74" w:rsidP="00280754">
      <w:pPr>
        <w:pStyle w:val="SingleTxtG"/>
        <w:ind w:firstLine="567"/>
        <w:rPr>
          <w:b/>
        </w:rPr>
      </w:pPr>
      <w:r>
        <w:t>(j)</w:t>
      </w:r>
      <w:r>
        <w:tab/>
        <w:t xml:space="preserve">het wettelijk verplicht wordt voor beroepsbeoefenaren en instellingen die voor en met kinderen en vrouwen werken om incidenten of het risico op een incident te melden, indien zij gegronde redenen hebben om te menen dat er een schadelijke praktijk heeft plaatsgevonden of kan plaatsvinden. Verantwoordelijkheid voor een verplichte melding zou de privacy en vertrouwelijkheid van de melder c.q. de melding dienen te waarborgen; </w:t>
      </w:r>
    </w:p>
    <w:p w14:paraId="655DB866" w14:textId="77777777" w:rsidR="00DB6B74" w:rsidRPr="00DB6B74" w:rsidRDefault="00DB6B74" w:rsidP="00280754">
      <w:pPr>
        <w:pStyle w:val="SingleTxtG"/>
        <w:ind w:firstLine="567"/>
        <w:rPr>
          <w:b/>
        </w:rPr>
      </w:pPr>
      <w:r>
        <w:t>(k)</w:t>
      </w:r>
      <w:r>
        <w:tab/>
        <w:t>alle initiatieven voor het opstellen en wijzigen van strafrechtelijke bepalingen worden gekoppeld aan beschermingsmaatregelen en -voorzieningen voor slachtoffers en anderen die het risico lopen aan schadelijke praktijken te worden onderworpen;</w:t>
      </w:r>
    </w:p>
    <w:p w14:paraId="57780861" w14:textId="77777777" w:rsidR="00DB6B74" w:rsidRPr="00DB6B74" w:rsidRDefault="00DB6B74" w:rsidP="00280754">
      <w:pPr>
        <w:pStyle w:val="SingleTxtG"/>
        <w:ind w:firstLine="567"/>
        <w:rPr>
          <w:b/>
        </w:rPr>
      </w:pPr>
      <w:r>
        <w:t>(l)</w:t>
      </w:r>
      <w:r>
        <w:tab/>
        <w:t>met wetgeving bepaald wordt wie rechtsmacht heeft over degenen die zich schuldig maken aan schadelijke praktijken, waarbij die wetgeving geldt voor staatsburgers en andere ingezeten van de Staat die partij bij de verdragen is, zelfs wanneer de schadelijke praktijken in een andere Staat zijn gepleegd, waar die niet strafbaar zijn;</w:t>
      </w:r>
    </w:p>
    <w:p w14:paraId="32E65D96" w14:textId="77777777" w:rsidR="00DB6B74" w:rsidRPr="00DB6B74" w:rsidRDefault="00DB6B74" w:rsidP="00280754">
      <w:pPr>
        <w:pStyle w:val="SingleTxtG"/>
        <w:ind w:firstLine="567"/>
        <w:rPr>
          <w:b/>
        </w:rPr>
      </w:pPr>
      <w:r>
        <w:t>(m)</w:t>
      </w:r>
      <w:r>
        <w:tab/>
        <w:t>in immigratie- en asielwetgeving en beleid erkend wordt dat het risico op onderwerping aan schadelijke praktijken of vervolging vanwege schadelijke praktijken gronden zijn om asiel te verlenen. Ook dient mede overwogen te worden, per individueel geval, of aan een familielid dat de vrouw of het meisje eventueel begeleidt bescherming geboden dient te worden.</w:t>
      </w:r>
    </w:p>
    <w:p w14:paraId="4AA10FFE" w14:textId="77777777" w:rsidR="00DB6B74" w:rsidRPr="00DB6B74" w:rsidRDefault="00DB6B74" w:rsidP="00280754">
      <w:pPr>
        <w:pStyle w:val="SingleTxtG"/>
        <w:ind w:firstLine="567"/>
        <w:rPr>
          <w:b/>
        </w:rPr>
      </w:pPr>
      <w:r>
        <w:t>(n)</w:t>
      </w:r>
      <w:r>
        <w:tab/>
        <w:t>wetgeving bepalingen bevat voor de periodieke evaluatie en controle van de wet, onder meer met betrekking tot de invoering, handhaving en toezicht;</w:t>
      </w:r>
    </w:p>
    <w:p w14:paraId="1FEF6E93" w14:textId="77777777" w:rsidR="00DB6B74" w:rsidRPr="00DB6B74" w:rsidRDefault="00DB6B74" w:rsidP="00280754">
      <w:pPr>
        <w:pStyle w:val="SingleTxtG"/>
        <w:ind w:firstLine="567"/>
        <w:rPr>
          <w:b/>
        </w:rPr>
      </w:pPr>
      <w:r>
        <w:t>(o)</w:t>
      </w:r>
      <w:r>
        <w:tab/>
        <w:t>vrouwen en kinderen die aan schadelijke praktijken zijn onderworpen daadwerkelijk (net als mannen) toegang hebben tot de rechter, onder meer door wettelijke en praktische obstakels voor het instellen van een procedure weg te nemen, zoals de verjaringstermijn, en doordat daders en degenen die hen daarbij geholpen hebben c.q. het oogluikend hebben toegestaan, ter verantwoording worden geroepen;</w:t>
      </w:r>
    </w:p>
    <w:p w14:paraId="3F71B513" w14:textId="77777777" w:rsidR="00DB6B74" w:rsidRPr="00DB6B74" w:rsidRDefault="00DB6B74" w:rsidP="00280754">
      <w:pPr>
        <w:pStyle w:val="SingleTxtG"/>
        <w:ind w:firstLine="567"/>
        <w:rPr>
          <w:b/>
        </w:rPr>
      </w:pPr>
      <w:r>
        <w:t>(p)</w:t>
      </w:r>
      <w:r>
        <w:tab/>
        <w:t>wetgeving verplichte contactverboden of beschermingsmaatregelen bevat, zodat degenen die gevaar lopen gevrijwaard worden van schadelijke praktijken en er wordt voorzien in hun veiligheid alsmede in maatregelen die slachtoffers tegen vergeldingsacties beschermen;</w:t>
      </w:r>
    </w:p>
    <w:p w14:paraId="083C722C" w14:textId="77777777" w:rsidR="00DB6B74" w:rsidRPr="00DB6B74" w:rsidRDefault="00DB6B74" w:rsidP="00280754">
      <w:pPr>
        <w:pStyle w:val="SingleTxtG"/>
        <w:ind w:firstLine="567"/>
        <w:rPr>
          <w:b/>
        </w:rPr>
      </w:pPr>
      <w:r>
        <w:t>(q)</w:t>
      </w:r>
      <w:r>
        <w:tab/>
        <w:t>slachtoffers van schendingen van het bepaalde in een of beide verdragen in gelijke mate toegang hebben tot rechtsmiddelen en vergoeding voor de aan hen toegebrachte schade;</w:t>
      </w:r>
    </w:p>
    <w:p w14:paraId="11F4B46A" w14:textId="77777777" w:rsidR="00DB6B74" w:rsidRPr="00280754" w:rsidRDefault="00280754" w:rsidP="00280754">
      <w:pPr>
        <w:pStyle w:val="H23G"/>
      </w:pPr>
      <w:r>
        <w:tab/>
        <w:t>7.3.</w:t>
      </w:r>
      <w:r>
        <w:tab/>
        <w:t>Preventie van schadelijke praktijken</w:t>
      </w:r>
    </w:p>
    <w:p w14:paraId="73BA0359" w14:textId="77777777" w:rsidR="00DB6B74" w:rsidRPr="00DB6B74" w:rsidRDefault="00DB6B74" w:rsidP="00DB6B74">
      <w:pPr>
        <w:pStyle w:val="SingleTxtG"/>
      </w:pPr>
      <w:r>
        <w:t>55.</w:t>
      </w:r>
      <w:r>
        <w:tab/>
        <w:t xml:space="preserve">Een van de eerste stappen bij het bestrijden van schadelijke praktijken is inzetten op preventie. Beide comités hebben benadrukt dat preventie het best kan worden gerealiseerd door een benadering op basis van mensenrechten waarmee maatschappelijke en culturele normen worden veranderd, vrouwen en meisjes emanciperen, er gewerkt wordt aan de kennisontwikkeling en vaardigheden van alle relevante beroepsbeoefenaren, op elk niveau, die regelmatig in contact staan met (potentiële) slachtoffers en met degenen die zich aan schadelijke praktijken schuldig maken, en bewustwording omtrent de oorzaken en gevolgen van schadelijke praktijken wordt gecreëerd, onder meer door een dialoog met belanghebbenden. </w:t>
      </w:r>
    </w:p>
    <w:p w14:paraId="421F5A0E" w14:textId="77777777" w:rsidR="00DB6B74" w:rsidRPr="00280754" w:rsidRDefault="00280754" w:rsidP="00280754">
      <w:pPr>
        <w:pStyle w:val="H23G"/>
      </w:pPr>
      <w:r>
        <w:tab/>
        <w:t>7.3.1</w:t>
      </w:r>
      <w:r>
        <w:tab/>
        <w:t xml:space="preserve">Vaststelling van maatschappelijke en culturele normen op basis van rechten </w:t>
      </w:r>
    </w:p>
    <w:p w14:paraId="47CE9424" w14:textId="77777777" w:rsidR="00DB6B74" w:rsidRPr="00DB6B74" w:rsidRDefault="00DB6B74" w:rsidP="00DB6B74">
      <w:pPr>
        <w:pStyle w:val="SingleTxtG"/>
      </w:pPr>
      <w:r>
        <w:t>56.</w:t>
      </w:r>
      <w:r>
        <w:tab/>
        <w:t xml:space="preserve">Een maatschappelijke norm is hetzij factor die bijdraagt en maatschappelijk bepalend is voor bepaalde gebruiken in een gemeenschap die positief kan zijn en de identiteit en samenhang ervan kunnen versterken, hetzij negatief en schadelijk kan zijn. Ook is het een maatschappelijke gedragsregel, waaraan de leden van de gemeenschap geacht worden zich </w:t>
      </w:r>
      <w:r>
        <w:lastRenderedPageBreak/>
        <w:t>te houden. Hierdoor ontstaat er een collectief gevoel van maatschappelijke verplichtingen en verwachtingen, waardoor het gedrag van de afzonderlijke leden binnen de gemeenschap wordt bepaald, zelfs wanneer zij persoonlijk niet achter het gebruik staan, en onderhoudt dat collectieve gevoel. Zo worden ouders gemotiveerd met VGV bij hun dochters in te stemmen, indien dat de maatschappelijke norm is, omdat zij andere ouders ook zien instemmen en menen dat dit ook van hen verwacht wordt. De norm of het gebruik wordt vaak in stand gehouden door vrouwen binnen de gemeenschap die de ingreep al hebben ondergaan, en die extra druk uitoefenen op jongere vrouwen om zich te conformeren aan het gebruik, of het gevaar lopen te worden verstoten, vermeden of gestigmatiseerd. Deze marginalisering kan mede het verlies van belangrijke economische en maatschappelijke steun en mobiliteit betekenen. Omgekeerd verwachten individuen, indien zij zich aan de maatschappelijke norm conformeren, daarvoor een beloning, bijvoorbeeld in de vorm van waardering of opname in de gemeenschap. Voor verandering van maatschappelijke normen die daaraan ten grondslag liggen en die schadelijke praktijken rechtvaardigen is het nodig om dergelijke verwachtingen bespreekbaar te maken en aan te passen.</w:t>
      </w:r>
    </w:p>
    <w:p w14:paraId="5B1606BD" w14:textId="77777777" w:rsidR="00DB6B74" w:rsidRPr="00DB6B74" w:rsidRDefault="00DB6B74" w:rsidP="00DB6B74">
      <w:pPr>
        <w:pStyle w:val="SingleTxtG"/>
      </w:pPr>
      <w:r>
        <w:t>57.</w:t>
      </w:r>
      <w:r>
        <w:tab/>
        <w:t>Maatschappelijke normen zijn een samenhangend geheel; daarom kunnen schadelijke praktijken niet los worden aangepakt, maar dient dat te gebeuren in een breder kader, op basis van uitgebreid inzicht in hoe deze praktijken verbonden zijn met andere culturele en maatschappelijke normen en andere praktijken. Hieruit blijkt de noodzaak om een benadering te kiezen die op rechten is gebaseerd en zijn grondslag vindt in de erkenning dat rechten ondeelbaar en van elkaar afhankelijk zijn.</w:t>
      </w:r>
    </w:p>
    <w:p w14:paraId="770D5C72" w14:textId="77777777" w:rsidR="00DB6B74" w:rsidRPr="00DB6B74" w:rsidRDefault="00DB6B74" w:rsidP="00DB6B74">
      <w:pPr>
        <w:pStyle w:val="SingleTxtG"/>
      </w:pPr>
      <w:r>
        <w:t>58.</w:t>
      </w:r>
      <w:r>
        <w:tab/>
        <w:t xml:space="preserve">Een onderliggend probleem dat dient te worden aangepakt is het feit dat schadelijke praktijken gezien kunnen worden als praktijken met een gunstig effect op het slachtoffer, hun familieleden en gemeenschap. Dat levert aanzienlijke beperkingen op in elke benadering waarmee alleen individuele gedragsverandering wordt beoogd. In plaats daarvan is er behoefte aan een breed gedragen, holistische benadering op basis van het collectief of de gemeenschap. Met cultureelgevoelige interventies die mensenrechten verstevigen en waarmee gemeenschappen waar die praktijken gangbaar zijn collectief alternatieve manieren kunnen onderzoeken en afspreken om zodoende aan hun normen en waarden te voldoen en tradities te eren/vieren zonder schade te berokkenen en de mensenrechten van vrouwen en kinderen te schenden kunnen schadelijke praktijken blijvend en op grote schaal worden uitgebannen, en kunnen nieuwe maatschappelijke regels collectief worden aanvaard. Openbare uitingen waarin men zich collectief uitspreekt voor die alternatieve praktijken kunnen de duurzaamheid op lange termijn versterken. Daarbij is de actieve betrokkenheid van gemeenschapsleiders cruciaal. </w:t>
      </w:r>
    </w:p>
    <w:p w14:paraId="56A06ECF" w14:textId="77777777" w:rsidR="00DB6B74" w:rsidRPr="00DB6B74" w:rsidRDefault="00DB6B74" w:rsidP="00DB6B74">
      <w:pPr>
        <w:pStyle w:val="SingleTxtG"/>
        <w:rPr>
          <w:b/>
        </w:rPr>
      </w:pPr>
      <w:r>
        <w:t>59.</w:t>
      </w:r>
      <w:r>
        <w:rPr>
          <w:b/>
        </w:rPr>
        <w:tab/>
        <w:t xml:space="preserve">De Comités adviseren Staten die partij bij de verdragen zijn: </w:t>
      </w:r>
    </w:p>
    <w:p w14:paraId="63C7DC87" w14:textId="77777777" w:rsidR="00DB6B74" w:rsidRPr="00DB6B74" w:rsidRDefault="00DB6B74" w:rsidP="00DB6B74">
      <w:pPr>
        <w:pStyle w:val="SingleTxtG"/>
      </w:pPr>
      <w:r>
        <w:t>om te zorgen dat pogingen voor de aanpak van schadelijke praktijken en het ter discussie stellen en veranderen van de onderliggende maatschappelijke normen holistisch zijn, met oog voor de gemeenschap en gebaseerd op een benadering die gestoeld is op mensenrechten, en waarbij actieve deelname van alle belanghebbenden, en dan met name van vrouwen en meisjes gezocht wordt.</w:t>
      </w:r>
    </w:p>
    <w:p w14:paraId="05642560" w14:textId="77777777" w:rsidR="00DB6B74" w:rsidRPr="00280754" w:rsidRDefault="00280754" w:rsidP="00280754">
      <w:pPr>
        <w:pStyle w:val="H23G"/>
      </w:pPr>
      <w:r>
        <w:tab/>
        <w:t>7.3.2</w:t>
      </w:r>
      <w:r>
        <w:tab/>
        <w:t>Emancipatie van vrouwen en meisjes</w:t>
      </w:r>
    </w:p>
    <w:p w14:paraId="6DFA90CA" w14:textId="77777777" w:rsidR="00DB6B74" w:rsidRPr="00DB6B74" w:rsidRDefault="00DB6B74" w:rsidP="00DB6B74">
      <w:pPr>
        <w:pStyle w:val="SingleTxtG"/>
      </w:pPr>
      <w:r>
        <w:t>60.</w:t>
      </w:r>
      <w:r>
        <w:tab/>
        <w:t xml:space="preserve">Staten die partij bij de verdragen zijn hebben de plicht om patriarchale ideologieën en structuren waardoor vrouwen en meisjes in de uitoefening van hun mensenrechten en vrijheden beperkt worden ter discussie te stellen en te veranderen. Om door veel vrouwen en meisjes ervaren maatschappelijke uitsluiting en armoede, dat hen nog kwetsbaarder maakt voor uitbuiting, schadelijke praktijken en andere vormen van gender-gerelateerd geweld, te boven te komen, dienen zij de benodigde vaardigheden en bevoegdheden te verwerven zodat zij hun rechten kunnen doen gelden, waaronder het leren nemen van zelfstandige, weloverwogen beslissingen en maken van keuzes over hun eigen leven. In dit kader is </w:t>
      </w:r>
      <w:r>
        <w:lastRenderedPageBreak/>
        <w:t xml:space="preserve">onderwijs een belangrijk middel om vrouwen en meisjes te emanciperen in het opeisen van hun rechten. </w:t>
      </w:r>
    </w:p>
    <w:p w14:paraId="40918913" w14:textId="77777777" w:rsidR="00DB6B74" w:rsidRPr="00DB6B74" w:rsidRDefault="00DB6B74" w:rsidP="00DB6B74">
      <w:pPr>
        <w:pStyle w:val="SingleTxtG"/>
      </w:pPr>
      <w:r>
        <w:t>61.</w:t>
      </w:r>
      <w:r>
        <w:tab/>
        <w:t>Er is een duidelijk verband tussen het weinige onderwijs dat meisjes en vrouwen genieten en de mate waarin schadelijke praktijken voorkomen. Staten die partij bij beide verdragen zijn hebben de plicht om het universele recht op kwalitatief goed onderwijs te waarborgen en om een gunstig klimaat te creëren waarin meisjes en vrouwen zelf veranderingen teweeg kunnen brengen (VRK, artt. 28 en 29; CEDAW-verdrag, art. 10). Dit houdt in dat het verplicht is dat kinderen overal ter wereld gratis naar de lagere school kunnen gaan en regelmatig onderwijs kunnen genieten, waarbij uitval wordt ontmoedigd, en bestaande sekse-ongelijkheid wordt uitgebannen, en de meest gemarginaliseerde meisjes worden geholpen bij hun toegang tot onderwijs, waaronder meisjes die op het platteland of buitengewoon afgelegen wonen. Bij de invulling van deze verplichtingen dient aandacht besteed te worden aan het creëren van een veilige school en omgeving die bevorderlijk is en rekening met meisjes houdt, zodat zij optimaal kunnen presteren.</w:t>
      </w:r>
    </w:p>
    <w:p w14:paraId="2A4462C3" w14:textId="77777777" w:rsidR="00DB6B74" w:rsidRPr="00DB6B74" w:rsidRDefault="00DB6B74" w:rsidP="00DB6B74">
      <w:pPr>
        <w:pStyle w:val="SingleTxtG"/>
      </w:pPr>
      <w:r>
        <w:t>62.</w:t>
      </w:r>
      <w:r>
        <w:tab/>
        <w:t>Afronding van lager en middelbaar onderwijs biedt meisjes voordelen op de korte en lange termijn, omdat het bijdraagt aan het voorkómen van kindhuwelijken en tienerzwangerschappen, aan lagere sterfte- en ziektecijfers onder baby's en moeders, het vrouwen en meisjes beter voorbereidt op het opeisen van hun recht om gevrijwaard te worden van geweld, en hun kansen op een doeltreffende deelname aan ieder aspect in het leven vergroot. De comités hebben Staten die partij bij de verdragen zijn consequent aangemoedigd om meer maatregelen te nemen zodat het naar de middelbare school (blijven) gaan een impuls krijgt, onder meer door ervoor te zorgen dat leerlingen de lagere school volledig doorlopen door middel van afschaffing van schoolgeld voor lager én middelbaar onderwijs, bevordering van gelijke toegang tot middelbaar onderwijs, waaronder technisch beroepsonderwijsmogelijkheden, en door verplicht middelbaar onderwijs te overwegen. Gedurende en na hun zwangerschap hebben tienermeisjes het recht om hun opleiding voort te zetten, hetgeen kan worden gegarandeerd door discriminatievrij terugkeerbeleid.</w:t>
      </w:r>
    </w:p>
    <w:p w14:paraId="1C8DA9E9" w14:textId="77777777" w:rsidR="00DB6B74" w:rsidRPr="00DB6B74" w:rsidRDefault="00DB6B74" w:rsidP="00DB6B74">
      <w:pPr>
        <w:pStyle w:val="SingleTxtG"/>
      </w:pPr>
      <w:r>
        <w:t>63.</w:t>
      </w:r>
      <w:r>
        <w:tab/>
        <w:t xml:space="preserve">Voor meisjes die niet naar school gaan is informeel onderwijs vaak hun enige kans om zich te scholen, waarbij in basale kennis en levensvaardigheden dient te worden voorzien. Het is een alternatief voor formeel onderwijs voor degenen die de lagere of middelbare school niet hebben afgemaakt en kan ook beschikbaar worden gesteld via radioprogramma's en andere media, waaronder digitale media. </w:t>
      </w:r>
    </w:p>
    <w:p w14:paraId="01BC05AC" w14:textId="77777777" w:rsidR="00DB6B74" w:rsidRPr="00DB6B74" w:rsidRDefault="00DB6B74" w:rsidP="00DB6B74">
      <w:pPr>
        <w:pStyle w:val="SingleTxtG"/>
      </w:pPr>
      <w:r>
        <w:t>64.</w:t>
      </w:r>
      <w:r>
        <w:tab/>
        <w:t>Vrouwen en meisjes worden in staat gesteld aan hun economische activa te werken door ondernemers- en inhoudelijke vaardigheden te leren, zodat zij in hun eigen broodwinning kunnen voorzien, en hebben baat bij programma's die een economische stimulans bieden om het huwelijk uit te stellen tot ze 18 zijn, zoals beurzen, regelingen voor microkredieten of spaarregelingen (CEDAW-verdrag, artt. 11 en 13; VRK, art. 28). Aanvullende bewustwordingsprogramma's zijn essentieel om uit te dragen dat vrouwen recht op werk buitenshuis hebben en om taboes over vrouwen en werk aan te vechten.</w:t>
      </w:r>
    </w:p>
    <w:p w14:paraId="2532498A" w14:textId="77777777" w:rsidR="00DB6B74" w:rsidRPr="00DB6B74" w:rsidRDefault="00DB6B74" w:rsidP="00DB6B74">
      <w:pPr>
        <w:pStyle w:val="SingleTxtG"/>
        <w:rPr>
          <w:bCs/>
        </w:rPr>
      </w:pPr>
      <w:r>
        <w:t>65.</w:t>
      </w:r>
      <w:r>
        <w:tab/>
        <w:t>Een andere manier om emancipatie bij vrouwen en meisjes aan te moedigen is door ze aan hun sociale activa te laten werken. Dit kan onder meer door het creëren van een veilige ruimte waar meisjes en vrouwen contact kunnen leggen met leeftijdgenoten, mentoren, docenten en leiders van de gemeenschap, waar zij zichzelf uiten, hun mening geven en hun ambities en zorgen verwoorden, en medezeggenschap hebben over besluiten die van invloed op hun leven zijn. Hierdoor kunnen zij geholpen worden eigenwaarde en zelfredzaamheid, communicatie- en onderhandelingsvaardigheden en probleemoplossend vermogen te ontwikkelen, en zich bewust te worden van hun rechten; dat kan in het bijzonder van belang zijn voor migrantenmeisjes. Aangezien mannen van oudsher op ieder niveau posities bekleden waarin zij macht en invloed hebben, is hun betrokkenheid essentieel om te zorgen dat kinderen en vrouwen de ondersteuning en daadwerkelijke betrokkenheid van hun familie, gemeenschap, het maatschappelijk middenveld en beleidsmakers hebben.</w:t>
      </w:r>
    </w:p>
    <w:p w14:paraId="153BF380" w14:textId="77777777" w:rsidR="00DB6B74" w:rsidRPr="00DB6B74" w:rsidRDefault="00DB6B74" w:rsidP="00DB6B74">
      <w:pPr>
        <w:pStyle w:val="SingleTxtG"/>
        <w:rPr>
          <w:bCs/>
        </w:rPr>
      </w:pPr>
      <w:r>
        <w:lastRenderedPageBreak/>
        <w:t>66.</w:t>
      </w:r>
      <w:r>
        <w:tab/>
        <w:t xml:space="preserve">In de jonge kinderjaren en uiterlijk in het begin van de puberteit kunnen meisjes en jongens het beste geholpen en gesteund worden om gender-gerelateerde houdingen te veranderen en een positievere rol en gedrag thuis, op school en elders in de maatschappij aan te leren. Dit betekent het faciliteren van gesprekken met hen over maatschappelijke normen, houdingen en verwachtingen die samenhangen met traditionele vrouwelijkheid en mannelijkheid en stereotiepe rollen op basis van geslacht en gender; en, met hen samenwerken, persoonlijke en sociale verandering steunen met als doel genderongelijkheid uit te bannen en het belang van de waarde van onderwijs, en dan met name voor meisjes, bevorderen, in een poging schadelijke praktijken die vooral meisjes voor en in de puberteit treffen uit te roeien. </w:t>
      </w:r>
    </w:p>
    <w:p w14:paraId="37F9411A" w14:textId="77777777" w:rsidR="00DB6B74" w:rsidRPr="00DB6B74" w:rsidRDefault="00DB6B74" w:rsidP="00DB6B74">
      <w:pPr>
        <w:pStyle w:val="SingleTxtG"/>
        <w:rPr>
          <w:bCs/>
        </w:rPr>
      </w:pPr>
      <w:r>
        <w:t>67.</w:t>
      </w:r>
      <w:r>
        <w:tab/>
        <w:t xml:space="preserve">Vrouwen en tienermeisjes die schadelijke praktijken hebben ondergaan of daartoe het risico lopen, hebben te maken met aanzienlijke risico's voor hun seksuele en reproductieve gezondheid, en dan vooral in een context waarin zij al obstakels ervaren bij het nemen van beslissingen over zaken, veroorzaakt door gebrek aan informatie en voorzieningen, waaronder adolescent-vriendelijke voorzieningen. Er dient derhalve bijzondere aandacht besteed te worden aan toegang voor vrouwen en jongvolwassenen tot goede informatie over seksuele en reproductieve gezondheid en aan rechten en de gevolgen van schadelijke praktijken, alsmede aan toegang tot passende voorzieningen waar geheimhouding geldt. Bij de leeftijd passende voorlichting, onder meer op wetenschap gestoelde informatie over seksuele en reproductieve gezondheid, draagt bij aan meer emancipatie van meisjes en vrouwen bij het maken van weloverwogen beslissingen en het opeisen van hun rechten. Daartoe spelen medewerkers in de gezondheidszorg en leerkrachten met adequate kennis, inzicht en vaardigheden een cruciale rol in het overbrengen van informatie, het voorkómen van schadelijke praktijken en het herkennen en bijstaan van vrouwen en meisjes die er toch slachtoffer van zijn geworden of het risico lopen daaraan blootgesteld te worden. </w:t>
      </w:r>
    </w:p>
    <w:p w14:paraId="704366D9" w14:textId="77777777" w:rsidR="00DB6B74" w:rsidRPr="00DB6B74" w:rsidRDefault="00DB6B74" w:rsidP="00DB6B74">
      <w:pPr>
        <w:pStyle w:val="SingleTxtG"/>
        <w:rPr>
          <w:b/>
        </w:rPr>
      </w:pPr>
      <w:r>
        <w:t>68.</w:t>
      </w:r>
      <w:r>
        <w:rPr>
          <w:b/>
        </w:rPr>
        <w:tab/>
        <w:t xml:space="preserve">De comités adviseren Staten die partij bij de Verdragen zijn: </w:t>
      </w:r>
    </w:p>
    <w:p w14:paraId="64CD7BF4" w14:textId="77777777" w:rsidR="00DB6B74" w:rsidRPr="00DB6B74" w:rsidRDefault="00DB6B74" w:rsidP="00280754">
      <w:pPr>
        <w:pStyle w:val="SingleTxtG"/>
        <w:ind w:firstLine="567"/>
      </w:pPr>
      <w:r>
        <w:t>(a)</w:t>
      </w:r>
      <w:r>
        <w:tab/>
        <w:t>te voorzien in universeel, gratis en verplicht basisonderwijs dat prettig is voor meisjes, ook in landelijke en verafgelegen gebieden. Denk daarbij aan het verplicht stellen van middelbaar onderwijs en het bieden van economische prikkels aan zwangere tieners en tienermoeders zodat zij hun middelbare school afmaken, en het vaststellen van discriminatievrij terugkeerbeleid;</w:t>
      </w:r>
    </w:p>
    <w:p w14:paraId="3A1939D9" w14:textId="77777777" w:rsidR="00DB6B74" w:rsidRPr="00DB6B74" w:rsidRDefault="00DB6B74" w:rsidP="00280754">
      <w:pPr>
        <w:pStyle w:val="SingleTxtG"/>
        <w:ind w:firstLine="567"/>
      </w:pPr>
      <w:r>
        <w:t>(b)</w:t>
      </w:r>
      <w:r>
        <w:tab/>
        <w:t>meisjes en vrouwen economische en scholingsmogelijkheden in een veilige omgeving en een gunstig klimaat te bieden, waarin zij hun eigenwaarde kunnen ontwikkelen, zich bewust kunnen worden van hun rechten en vaardigheden aanleren op het gebied van communicatie, onderhandelingen en het oplossen van problemen;</w:t>
      </w:r>
    </w:p>
    <w:p w14:paraId="74CD1D7C" w14:textId="77777777" w:rsidR="00DB6B74" w:rsidRPr="00DB6B74" w:rsidRDefault="00DB6B74" w:rsidP="00280754">
      <w:pPr>
        <w:pStyle w:val="SingleTxtG"/>
        <w:ind w:firstLine="567"/>
      </w:pPr>
      <w:r>
        <w:t>(c)</w:t>
      </w:r>
      <w:r>
        <w:tab/>
        <w:t>in het onderwijsprogramma informatie over mensenrechten op te nemen, waaronder de rechten van vrouwen en kinderen, gendergelijkheid en zelfbewustzijn, bij te dragen aan de uitbanning van stereotiepe man/vrouw-rolpatronen en een klimaat te scheppen waarin niet gediscrimineerd wordt;</w:t>
      </w:r>
    </w:p>
    <w:p w14:paraId="7BF10E36" w14:textId="77777777" w:rsidR="00DB6B74" w:rsidRPr="00DB6B74" w:rsidRDefault="00DB6B74" w:rsidP="00280754">
      <w:pPr>
        <w:pStyle w:val="SingleTxtG"/>
        <w:ind w:firstLine="567"/>
      </w:pPr>
      <w:r>
        <w:t>(d)</w:t>
      </w:r>
      <w:r>
        <w:tab/>
        <w:t>ervoor te zorgen dat scholen bij de leeftijd passende voorlichting geven over seksuele en reproductieve gezondheid en [de bijbehorende] rechten, onder meer met betrekking tot genderrelaties en verantwoord seksueel gedrag, hiv-preventie, voeding, bescherming tegen geweld en schadelijke praktijken;</w:t>
      </w:r>
    </w:p>
    <w:p w14:paraId="69BB2AAC" w14:textId="77777777" w:rsidR="00DB6B74" w:rsidRPr="00DB6B74" w:rsidRDefault="00DB6B74" w:rsidP="00280754">
      <w:pPr>
        <w:pStyle w:val="SingleTxtG"/>
        <w:ind w:firstLine="567"/>
      </w:pPr>
      <w:r>
        <w:t>(e)</w:t>
      </w:r>
      <w:r>
        <w:tab/>
        <w:t>ervoor te zorgen dat er toegang is tot informele onderwijsprogramma's voor meisjes die niet meer naar school gaan, of nog nooit naar school zijn geweest en ongeletterd zijn; de kwaliteit van deze programma's te controleren;</w:t>
      </w:r>
    </w:p>
    <w:p w14:paraId="4C60E878" w14:textId="77777777" w:rsidR="00DB6B74" w:rsidRPr="00DB6B74" w:rsidRDefault="00DB6B74" w:rsidP="00280754">
      <w:pPr>
        <w:pStyle w:val="SingleTxtG"/>
        <w:ind w:firstLine="567"/>
      </w:pPr>
      <w:r>
        <w:t>(f)</w:t>
      </w:r>
      <w:r>
        <w:tab/>
        <w:t xml:space="preserve">mannen en jongens te betrekken bij het creëren van een gunstig klimaat waarin de emancipatie van vrouwen en meisjes wordt ondersteund. </w:t>
      </w:r>
    </w:p>
    <w:p w14:paraId="3CC31138" w14:textId="77777777" w:rsidR="00DB6B74" w:rsidRPr="00280754" w:rsidRDefault="00280754" w:rsidP="00280754">
      <w:pPr>
        <w:pStyle w:val="H23G"/>
      </w:pPr>
      <w:r>
        <w:lastRenderedPageBreak/>
        <w:tab/>
        <w:t>7.3.3</w:t>
      </w:r>
      <w:r>
        <w:tab/>
        <w:t>Ontwikkeling van vaardigheden op alle niveaus</w:t>
      </w:r>
    </w:p>
    <w:p w14:paraId="22787214" w14:textId="77777777" w:rsidR="00DB6B74" w:rsidRPr="00DB6B74" w:rsidRDefault="00DB6B74" w:rsidP="00DB6B74">
      <w:pPr>
        <w:pStyle w:val="SingleTxtG"/>
      </w:pPr>
      <w:r>
        <w:t>69.</w:t>
      </w:r>
      <w:r>
        <w:tab/>
        <w:t xml:space="preserve">Een van de primaire problemen bij het uitbannen van schadelijke praktijken houdt verband met het gebrek aan bewustzijn of bekwaamheid aan relevante professionals, waaronder beroepsbeoefenaren in de eerste lijn, om incidenten of de risico's van schadelijke praktijken voldoende te begrijpen, te constateren en daar vervolgens op te reageren. Een alomvattende, holistische en doeltreffende benadering om de capaciteit te vergroten dient gericht te zijn op het betrekken van invloedrijke leiders, zoals traditionele en religieuze leiders, en zoveel mogelijk relevante beroepsgroepen, waaronder mensen uit de gezondheidszorg, het onderwijs en maatschappelijk werk, asiel- en immigratieinstanties, de politie, het openbaar ministerie, de rechterlijke macht en politici, op alle niveaus. Zij dienen te worden voorzien van de juiste informatie over de praktijk en de van toepassing zijnde mensenrechtennormen, teneinde een verandering in houding en gedrag binnen hun groep en de bredere maatschappij te bevorderen. </w:t>
      </w:r>
    </w:p>
    <w:p w14:paraId="01BD2FDA" w14:textId="77777777" w:rsidR="00DB6B74" w:rsidRPr="00DB6B74" w:rsidRDefault="00DB6B74" w:rsidP="00DB6B74">
      <w:pPr>
        <w:pStyle w:val="SingleTxtG"/>
      </w:pPr>
      <w:r>
        <w:t>70.</w:t>
      </w:r>
      <w:r>
        <w:tab/>
        <w:t>Wanneer er alternatieve geschillenbeslechtingssystemen of traditionele gerechtelijke systemen bestaan, dient er onderwijs in mensenrechten en schadelijke praktijken te worden gegeven aan degenen die verantwoordelijk zijn voor het besturen van die systemen. Voorts dienen de politie, het openbaar ministerie, de rechterlijke macht en andere rechtshandhavers getraind te worden in de implementatie van nieuwe of bestaande wet- en regelgeving op grond waarvan schadelijke praktijken strafbaar zijn, zodat zij zich bewust worden van de rechten van vrouwen en meisjes en gevoelig zijn voor de kwetsbare positie van slachtoffers.</w:t>
      </w:r>
    </w:p>
    <w:p w14:paraId="51E175B7" w14:textId="77777777" w:rsidR="00DB6B74" w:rsidRPr="00DB6B74" w:rsidRDefault="00DB6B74" w:rsidP="00DB6B74">
      <w:pPr>
        <w:pStyle w:val="SingleTxtG"/>
      </w:pPr>
      <w:r>
        <w:t>71.</w:t>
      </w:r>
      <w:r>
        <w:tab/>
        <w:t>In Staten die partij bij de verdragen zijn waar het vóórkomen van schadelijke praktijken zich voornamelijk beperkt tot gemeenschappen met immigranten, dienen mensen in de gezondheidszorg, het onderwijs en de kinderopvang, het maatschappelijk werk, de politie, immigratiedienst en de rechterlijke macht bewust te maken van en te trainen in het herkennen van meisjes en vrouwen die schadelijke praktijken hebben ondergaan of daartoe een risico lopen en in de maatregelen die kunnen en moeten worden getroffen om hen te beschermen.</w:t>
      </w:r>
    </w:p>
    <w:p w14:paraId="516DDE2D" w14:textId="77777777" w:rsidR="00DB6B74" w:rsidRPr="00DB6B74" w:rsidRDefault="00DB6B74" w:rsidP="00DB6B74">
      <w:pPr>
        <w:pStyle w:val="SingleTxtG"/>
        <w:rPr>
          <w:b/>
        </w:rPr>
      </w:pPr>
      <w:r>
        <w:t>72.</w:t>
      </w:r>
      <w:r>
        <w:rPr>
          <w:b/>
        </w:rPr>
        <w:tab/>
        <w:t xml:space="preserve">De comités adviseren Staten die partij bij de verdragen zijn: </w:t>
      </w:r>
    </w:p>
    <w:p w14:paraId="7EF13604" w14:textId="77777777" w:rsidR="00DB6B74" w:rsidRPr="00DB6B74" w:rsidRDefault="00DB6B74" w:rsidP="00280754">
      <w:pPr>
        <w:pStyle w:val="SingleTxtG"/>
        <w:ind w:firstLine="567"/>
      </w:pPr>
      <w:r>
        <w:t>(a)</w:t>
      </w:r>
      <w:r>
        <w:tab/>
        <w:t>alle relevante beroepsbeoefenaren in de eerste lijn voor te lichten over schadelijke praktijken en de van toepassing zijnde mensenrechtennormen en te zorgen dat zij voldoende opgeleid worden om incidenten met schadelijke praktijken te voorkomen, te herkennen en daar vervolgens op te reageren, waaronder het verminderen van de negatieve gevolgen voor slachtoffers en hen helpen toegang tot rechtsmiddelen en passende hulp te krijgen;</w:t>
      </w:r>
    </w:p>
    <w:p w14:paraId="06B23736" w14:textId="77777777" w:rsidR="00DB6B74" w:rsidRPr="00DB6B74" w:rsidRDefault="00DB6B74" w:rsidP="00280754">
      <w:pPr>
        <w:pStyle w:val="SingleTxtG"/>
        <w:ind w:firstLine="567"/>
      </w:pPr>
      <w:r>
        <w:t>(b)</w:t>
      </w:r>
      <w:r>
        <w:tab/>
        <w:t>bij alternatieve geschillenbeslechting en traditionele rechtspraaksystemen betrokken personen te trainen in de juiste toepassing van de belangrijkste mensenrechtenbeginselen, en dan met name in het belang van het kind en deelname van kinderen in administratieve en juridische procedures;</w:t>
      </w:r>
    </w:p>
    <w:p w14:paraId="7DFCBA8D" w14:textId="77777777" w:rsidR="00DB6B74" w:rsidRPr="00DB6B74" w:rsidRDefault="00DB6B74" w:rsidP="00280754">
      <w:pPr>
        <w:pStyle w:val="SingleTxtG"/>
        <w:ind w:firstLine="567"/>
      </w:pPr>
      <w:r>
        <w:t>(c)</w:t>
      </w:r>
      <w:r>
        <w:tab/>
        <w:t xml:space="preserve">alle rechtshandhavingsmedewerkers, waaronder de rechterlijke macht, op te leiden in nieuwe en bestaande wet- en regelgeving op grond waarvan schadelijke praktijken verboden zijn, en te zorgen dat zij zich bewust zijn van de rechten van vrouwen en meisjes, en van hun rol bij de vervolging van daders en bescherming van slachtoffers van schadelijke praktijken; </w:t>
      </w:r>
    </w:p>
    <w:p w14:paraId="638DAC4E" w14:textId="77777777" w:rsidR="00DB6B74" w:rsidRPr="00DB6B74" w:rsidRDefault="00DB6B74" w:rsidP="00280754">
      <w:pPr>
        <w:pStyle w:val="SingleTxtG"/>
        <w:ind w:firstLine="567"/>
      </w:pPr>
      <w:r>
        <w:t>(d)</w:t>
      </w:r>
      <w:r>
        <w:tab/>
        <w:t>gespecialiseerde bewustwordings- en trainingsprogramma's voor gezondheidszorgmedewerkers in immigrantengemeenschappen uit te voeren om duidelijk te maken wat de unieke zorgbehoeften zijn van vrouwen en kinderen die VGV of andere schadelijke praktijken hebben ondergaan. Gespecialiseerde training te bieden, ook aan medewerkers in de jeugdzorg en voorzieningen gericht op vrouwenrechten, onderwijs, de politie en justitie, politici en mediapersoneel die werken met migrantenmeisjes en -vrouwen.</w:t>
      </w:r>
    </w:p>
    <w:p w14:paraId="4D181A8E" w14:textId="77777777" w:rsidR="00DB6B74" w:rsidRPr="00280754" w:rsidRDefault="00280754" w:rsidP="00280754">
      <w:pPr>
        <w:pStyle w:val="H23G"/>
      </w:pPr>
      <w:r>
        <w:lastRenderedPageBreak/>
        <w:tab/>
        <w:t>7.3.4</w:t>
      </w:r>
      <w:r>
        <w:tab/>
        <w:t>Bewustwording, publieke dialoog en uitingen van betrokkenheid</w:t>
      </w:r>
    </w:p>
    <w:p w14:paraId="30BF9AD8" w14:textId="77777777" w:rsidR="00DB6B74" w:rsidRPr="00DB6B74" w:rsidRDefault="00DB6B74" w:rsidP="00DB6B74">
      <w:pPr>
        <w:pStyle w:val="SingleTxtG"/>
      </w:pPr>
      <w:r>
        <w:t>73.</w:t>
      </w:r>
      <w:r>
        <w:tab/>
        <w:t>Beide Comités adviseren Staten die partij bij de Verdragen zijn regelmatig om zich te verplichten tot uitgebreide publieksvoorlichtings- en bewustwordingscampagnes als onderdeel van de meerjarenstrategieën om schadelijke praktijken uit te bannen, door sociaal-culturele normen en houdingen waaraan schadelijke praktijken ten grondslag liggen aan de orde te stellen. Daaronder vallen onder meer machtsstructuren waarin de man overheerst, discriminatie op basis van geslacht en gender en hiërarchie op basis van leeftijd.</w:t>
      </w:r>
    </w:p>
    <w:p w14:paraId="41A42177" w14:textId="77777777" w:rsidR="00DB6B74" w:rsidRPr="00DB6B74" w:rsidRDefault="00DB6B74" w:rsidP="00DB6B74">
      <w:pPr>
        <w:pStyle w:val="SingleTxtG"/>
      </w:pPr>
      <w:r>
        <w:t>74.</w:t>
      </w:r>
      <w:r>
        <w:tab/>
        <w:t xml:space="preserve">Bij bewustwordingsmaatregelen dient gebruik te worden gemaakt van juiste informatie uit betrouwbare bronnen over de schade die door de praktijken wordt veroorzaakt, en van overtuigende redenen waarom die praktijken moeten worden uitgebannen. Daarbij kunnen de massamedia een belangrijke rol vervullen om ervoor te zorgen dat er nieuwe opvattingen ontstaan, met name door vrouwen en kinderen toegang te geven tot informatie en materiaal dat gericht is op het bevorderen van hun maatschappelijke en morele welzijn en lichamelijke en geestelijke gezondheid, conform de verplichtingen op grond van beide verdragen die hen mede beschermen tegen schadelijke praktijken. </w:t>
      </w:r>
    </w:p>
    <w:p w14:paraId="50A4B9A1" w14:textId="77777777" w:rsidR="00DB6B74" w:rsidRPr="00DB6B74" w:rsidRDefault="00DB6B74" w:rsidP="00DB6B74">
      <w:pPr>
        <w:pStyle w:val="SingleTxtG"/>
      </w:pPr>
      <w:r>
        <w:t>75.</w:t>
      </w:r>
      <w:r>
        <w:tab/>
        <w:t xml:space="preserve">De invoering van bewustwordingscampagnes kan een gelegenheid zijn om een publiek debat aan te zwengelen over schadelijke praktijken, met het oog op het gezamenlijk onderzoeken van alternatieven die geen schade toebrengen en geen mensenrechten van vrouwen en kinderen schenden, en het bereiken van overeenstemming dat er verandering mogelijk en nodig is in de maatschappelijke normen waaraan de schadelijke praktijken ten grondslag liggen en waardoor ze in stand blijven. Dankzij het gezamenlijke gevoel van trots van een gemeenschap dat nieuwe manieren vaststelt en aanneemt om hun kernwaarden te vervullen scharen de leden ervan zich permanent achter nieuwe maatschappelijke normen die geen schade veroorzaken of mensenrechten schenden. </w:t>
      </w:r>
    </w:p>
    <w:p w14:paraId="5A7248CD" w14:textId="77777777" w:rsidR="00DB6B74" w:rsidRPr="00DB6B74" w:rsidRDefault="00DB6B74" w:rsidP="00DB6B74">
      <w:pPr>
        <w:pStyle w:val="SingleTxtG"/>
      </w:pPr>
      <w:r>
        <w:t>76.</w:t>
      </w:r>
      <w:r>
        <w:tab/>
        <w:t xml:space="preserve">De meest doeltreffende inspanningen zijn inclusief en zorgen voor betrokkenheid van relevante belanghebbenden op alle niveaus, en dan in het bijzonder van meisjes en vrouwen uit getroffen gemeenschappen, maar ook van jongens en mannen. Bovendien is voor deze inspanningen actieve deelname en steun van plaatselijke leiders nodig, en toekenning van voldoende middelen. Het vaststellen of versterken van bestaande samenwerkingsverbanden met relevant belanghebbenden, instellingen, organisaties en maatschappelijke netwerken (religieuze en traditionele leiders, mensen uit de praktijk en het maatschappelijk middenveld) kan helpen om bruggen te bouwen tussen de verschillende achterbannen. </w:t>
      </w:r>
    </w:p>
    <w:p w14:paraId="6D5FCF37" w14:textId="77777777" w:rsidR="00DB6B74" w:rsidRPr="00DB6B74" w:rsidRDefault="00DB6B74" w:rsidP="00DB6B74">
      <w:pPr>
        <w:pStyle w:val="SingleTxtG"/>
      </w:pPr>
      <w:r>
        <w:t>77.</w:t>
      </w:r>
      <w:r>
        <w:tab/>
        <w:t xml:space="preserve">Ook valt te overwegen om informatie over positieve ervaringen na de uitbanning van schadelijke praktijken te verspreiden binnen een plaatselijke gemeenschap, in de diaspora of binnen andere praktiserende gemeenschappen uit hetzelfde geografische gebied met een vergelijkbare achtergrond, en om good practices uit te wisselen, waaronder good practices uit andere regio's. Dit kan in de vorm van plaatselijke, landelijke of regionale conferenties of evenementen, bezoeken van gemeenschapsleiders of het gebruik van audiovisuele middelen. Daarnaast dienen bewustwordingsactiviteiten met zorg te worden ontwikkeld, zodat zij de plaatselijke situatie goed weergeven, en niet leiden tot verzet of stigmatisering en/of discriminatie tegen de slachtoffers en/of de praktiserende gemeenschappen. </w:t>
      </w:r>
    </w:p>
    <w:p w14:paraId="0F9D5CA8" w14:textId="77777777" w:rsidR="00DB6B74" w:rsidRPr="00DB6B74" w:rsidRDefault="00DB6B74" w:rsidP="00DB6B74">
      <w:pPr>
        <w:pStyle w:val="SingleTxtG"/>
      </w:pPr>
      <w:r>
        <w:t>78.</w:t>
      </w:r>
      <w:r>
        <w:tab/>
        <w:t xml:space="preserve">Reguliere - en gemeenschapsmedia kunnen belangrijke partners zijn in de bewustwording en reikwijdte van de uitbanning van schadelijke praktijken, onder meer door samen met de overheid genomen initiatieven om debatten of praatprogramma's te organiseren, documentaires te maken en uit te zenden en onderwijsprogramma's voor radio en televisie te ontwikkelen. Het internet en sociale media kunnen ook waardevolle instrumenten zijn om voorlichting te geven en gelegenheid te beiden voor debat, en mobiele telefoons worden steeds vaker gebruikt om boodschappen te verspreiden en mensen van alle leeftijden te benaderen. Gemeenschapsmedia kunnen dienen als nuttig platform voor informatie en een dialoog; dat kan bijv. bestaan uit radio, straattheater, muziek, kunst, dichtkunst en poppentheater. </w:t>
      </w:r>
    </w:p>
    <w:p w14:paraId="22F84D42" w14:textId="77777777" w:rsidR="00DB6B74" w:rsidRPr="00DB6B74" w:rsidRDefault="00DB6B74" w:rsidP="00DB6B74">
      <w:pPr>
        <w:pStyle w:val="SingleTxtG"/>
      </w:pPr>
      <w:r>
        <w:lastRenderedPageBreak/>
        <w:t>79.</w:t>
      </w:r>
      <w:r>
        <w:tab/>
        <w:t>In Staten met doeltreffende wetgeving tegen schadelijke praktijken die tevens partij bij de verdragen zijn bestaat het risico dat praktiserende gemeenschappen ondergronds gaan of de praktijken in het buitenland (laten) uitvoeren. Staten die partij bij de verdragen zijn en plaats bieden aan praktiserende gemeenschappen dienen steun te geven aan bewustwordingscampagnes over de schadelijke invloed op (potentiële) slachtoffers, en over de wettelijke gevolgen van mensenrechtenschendingen, maar tegelijkertijd discriminatie en stigmatisering van deze gemeenschappen voorkomen. Daartoe dienen maatregelen getroffen te worden om de maatschappelijke integratie van deze gemeenschappen mogelijk te maken.</w:t>
      </w:r>
    </w:p>
    <w:p w14:paraId="2AB8A79B" w14:textId="77777777" w:rsidR="00DB6B74" w:rsidRPr="00DB6B74" w:rsidRDefault="00DB6B74" w:rsidP="00DB6B74">
      <w:pPr>
        <w:pStyle w:val="SingleTxtG"/>
      </w:pPr>
      <w:r>
        <w:t>80.</w:t>
      </w:r>
      <w:r>
        <w:tab/>
      </w:r>
      <w:r>
        <w:rPr>
          <w:b/>
        </w:rPr>
        <w:t>Het comité adviseert Staten die partij bij de Verdragen zijn:</w:t>
      </w:r>
    </w:p>
    <w:p w14:paraId="0902BBDB" w14:textId="77777777" w:rsidR="00DB6B74" w:rsidRPr="00DB6B74" w:rsidRDefault="00DB6B74" w:rsidP="00280754">
      <w:pPr>
        <w:pStyle w:val="SingleTxtG"/>
        <w:ind w:firstLine="567"/>
      </w:pPr>
      <w:r>
        <w:t>(a)</w:t>
      </w:r>
      <w:r>
        <w:tab/>
        <w:t>alomvattende bewustwordingsprogramma's te ontwikkelen en goed te keuren waarmee culturele en maatschappelijke houdingen, tradities en gebruiken die ten grondslag liggen aan gedrag dat schadelijke praktijken laat voortbestaan ter sprake kunnen worden gebracht en veranderd kunnen worden;</w:t>
      </w:r>
    </w:p>
    <w:p w14:paraId="48ED6C2B" w14:textId="77777777" w:rsidR="00DB6B74" w:rsidRPr="00DB6B74" w:rsidRDefault="00DB6B74" w:rsidP="00280754">
      <w:pPr>
        <w:pStyle w:val="SingleTxtG"/>
        <w:ind w:firstLine="567"/>
      </w:pPr>
      <w:r>
        <w:t>(b)</w:t>
      </w:r>
      <w:r>
        <w:tab/>
        <w:t xml:space="preserve">te zorgen dat bewustwordingsprogramma's juiste informatie en heldere, eenduidige berichten uit betrouwbare bronnen verstrekken over de negatieve invloed van schadelijke praktijken op vrouwen, kinderen (met name meisjes) en hun familie en de maatschappij als geheel. Bij dergelijke programma's dient mede gebruik te worden gemaakt van sociale media, internet, en de binnen gemeenschappen gebruikte kanalen voor berichtgeving en informatieverspreiding; </w:t>
      </w:r>
    </w:p>
    <w:p w14:paraId="575B7C85" w14:textId="77777777" w:rsidR="00DB6B74" w:rsidRPr="00DB6B74" w:rsidRDefault="00DB6B74" w:rsidP="00280754">
      <w:pPr>
        <w:pStyle w:val="SingleTxtG"/>
        <w:ind w:firstLine="567"/>
      </w:pPr>
      <w:r>
        <w:t>(c)</w:t>
      </w:r>
      <w:r>
        <w:tab/>
        <w:t>alle passende maatregelen te treffen die ervoor zorgen dat er een einde komt aan stigmatisering en discriminatie van slachtoffers en/of praktiserende immigranten- of minderheidsgemeenschappen;</w:t>
      </w:r>
    </w:p>
    <w:p w14:paraId="6BC4DE6B" w14:textId="77777777" w:rsidR="00DB6B74" w:rsidRPr="00DB6B74" w:rsidRDefault="00DB6B74" w:rsidP="00280754">
      <w:pPr>
        <w:pStyle w:val="SingleTxtG"/>
        <w:ind w:firstLine="567"/>
      </w:pPr>
      <w:r>
        <w:t>(d)</w:t>
      </w:r>
      <w:r>
        <w:tab/>
        <w:t xml:space="preserve">te zorgen dat diegenen die beslissingen nemen en alle voor de programma's relevante medewerkers en belangrijke beroepsbeoefenaren die werkzaam zijn binnen de plaatselijke en landelijke overheid(sinstellingen) betrokken worden bij bewustwordingsprogramma's die zich richten op staatsstructuren; </w:t>
      </w:r>
    </w:p>
    <w:p w14:paraId="7A95A27B" w14:textId="77777777" w:rsidR="00DB6B74" w:rsidRPr="00DB6B74" w:rsidRDefault="00DB6B74" w:rsidP="00280754">
      <w:pPr>
        <w:pStyle w:val="SingleTxtG"/>
        <w:ind w:firstLine="567"/>
      </w:pPr>
      <w:r>
        <w:t>(e)</w:t>
      </w:r>
      <w:r>
        <w:tab/>
        <w:t>te zorgen dat het personeel binnen landelijke mensenrechtenorganisaties zich volledig bewust is c.q. wordt van de gevolgen van schadelijke praktijken op de mensenrechten binnen de Staat die partij bij de verdragen is, en dat zij worden ondersteund in hun pogingen de uitbanning van deze praktijken te bevorderen;</w:t>
      </w:r>
    </w:p>
    <w:p w14:paraId="59875360" w14:textId="77777777" w:rsidR="00DB6B74" w:rsidRPr="00DB6B74" w:rsidRDefault="00DB6B74" w:rsidP="00280754">
      <w:pPr>
        <w:pStyle w:val="SingleTxtG"/>
        <w:ind w:firstLine="567"/>
      </w:pPr>
      <w:r>
        <w:t>(f)</w:t>
      </w:r>
      <w:r>
        <w:tab/>
        <w:t>openbare debatten in gang te zetten om schadelijke praktijken te voorkomen en de uitbanning ervan te bevorderen, door alle relevante belanghebbenden te betrekken bij de voorbereiding en invoering van deze maatregelen, onder wie plaatselijke leiders, mensen uit de praktijk, door de bevolking opgezette organisaties en geloofsgemeenschappen. Deze activiteiten hebben te dienen als bevestiging van de positieve culturele beginselen van een gemeenschap die met de mensenrechten stroken en daarin dient informatie te zijn opgenomen over ervaringen waarbij het gelukt is de voorheen in gemeenschappen met vergelijkbare achtergronden gehanteerde schadelijke praktijken uit te bannen;</w:t>
      </w:r>
    </w:p>
    <w:p w14:paraId="37966C1B" w14:textId="77777777" w:rsidR="00DB6B74" w:rsidRPr="00DB6B74" w:rsidRDefault="00DB6B74" w:rsidP="00280754">
      <w:pPr>
        <w:pStyle w:val="SingleTxtG"/>
        <w:ind w:firstLine="567"/>
      </w:pPr>
      <w:r>
        <w:t>(g)</w:t>
      </w:r>
      <w:r>
        <w:tab/>
        <w:t>doeltreffende samenwerkingsverbanden met reguliere media aan te gaan of te verstevigen om de implementatie van bewustwordingsprogramma's te steunen en het openbare debat te bevorderen en de ontwikkeling van zelfregulerende mechanismes en de naleving ervan aan te moedigen, zonder dat daarbij de privacy van individuele personen wordt geschonden.</w:t>
      </w:r>
    </w:p>
    <w:p w14:paraId="20BE26AC" w14:textId="77777777" w:rsidR="00DB6B74" w:rsidRPr="00280754" w:rsidRDefault="00280754" w:rsidP="00280754">
      <w:pPr>
        <w:pStyle w:val="H23G"/>
      </w:pPr>
      <w:r>
        <w:tab/>
        <w:t>7.4</w:t>
      </w:r>
      <w:r>
        <w:tab/>
        <w:t xml:space="preserve">Beschermende maatregelen en responsieve dienstverlening </w:t>
      </w:r>
    </w:p>
    <w:p w14:paraId="39DE4650" w14:textId="77777777" w:rsidR="00DB6B74" w:rsidRPr="00DB6B74" w:rsidRDefault="00DB6B74" w:rsidP="00DB6B74">
      <w:pPr>
        <w:pStyle w:val="SingleTxtG"/>
      </w:pPr>
      <w:r>
        <w:t>81.</w:t>
      </w:r>
      <w:r>
        <w:tab/>
        <w:t xml:space="preserve">Vrouwen en kinderen die slachtoffer zijn van schadelijke praktijken hebben onmiddellijke ondersteuning nodig, waaronder medische zorg, en psychologische en juridische hulp. Medische noodhulp kan daarvan de meest dringende en meest evidente zijn, aangezien sommige schadelijke praktijken die hierin ter sprake komen gepaard gaan met extreem lichamelijk geweld en medisch ingrijpen nodig kan zijn om ernstige schade te </w:t>
      </w:r>
      <w:r>
        <w:lastRenderedPageBreak/>
        <w:t>behandelen of de dood te voorkomen. Slachtoffers van VGV of andere schadelijke praktijken hebben mogelijk ook medische behandeling of zelfs chirurgie nodig om de lichamelijke gevolgen op de korte en lange termijn ongedaan te maken of te verminderen. Regie bij zwangerschap en bevalling van vrouwen of meisjes die VGV hebben ondergaan dient te worden opgenomen in de (interne) opleiding voor vroedvrouwen, artsen en ander bij de geboorte aanwezig ondersteunend personeel.</w:t>
      </w:r>
    </w:p>
    <w:p w14:paraId="1F3C3CE3" w14:textId="77777777" w:rsidR="00DB6B74" w:rsidRPr="00DB6B74" w:rsidRDefault="00DB6B74" w:rsidP="00DB6B74">
      <w:pPr>
        <w:pStyle w:val="SingleTxtG"/>
      </w:pPr>
      <w:r>
        <w:t>82.</w:t>
      </w:r>
      <w:r>
        <w:tab/>
        <w:t>Aan nationale beschermingssystemen of, bij gebrek daaraan, traditionele structuren, dient te worden opgelegd dat zij kindvriendelijk en genderbewust zijn en voldoende middelen hebben om alle benodigde vormen van bescherming te bieden aan vrouwen en meisjes voor wie het risico van geweld groot is, onder wie meisjes die zijn weggelopen om te ontkomen aan VGV, een gedwongen huwelijk of misdrijven in het kader van eerwraak. Er dient in overweging genomen te worden om een makkelijk te onthouden, gratis, 24-uur bereikbare telefonische hulpdienst op te zetten die in het hele land bekend en beschikbaar is. Er dienen passende veiligheids- en beveiligingsmaatregelen voor slachtoffers beschikbaar te zijn, waaronder specifiek daarvoor ontwikkelde tijdelijke opvanglocaties of gespecialiseerde hulpverlening binnen blijf-van-mijn-lijfhuizen. Aangezien de dader van de schadelijke praktijken vaak de echtgenoot, een familielid of ander lid van de gemeenschap van het slachtoffer is, dienen beschermingsdiensten te proberen slachtoffers hun directe leefgemeenschap te plaatsen, indien er voor hun veiligheid te vrezen valt. Onbegeleid bezoek dient te worden vermeden, vooral wanneer het een zaak betreft waarbij mogelijk eerwraak in het spel is. Psychosociale ondersteuning dient ook beschikbaar te zijn voor de behandeling van het psychische trauma van slachtoffers, dat zich onmiddellijk of pas op de lange termijn uit, zoals PTSS, angst of depressie.</w:t>
      </w:r>
    </w:p>
    <w:p w14:paraId="64F8916D" w14:textId="77777777" w:rsidR="00DB6B74" w:rsidRPr="00DB6B74" w:rsidRDefault="00DB6B74" w:rsidP="00DB6B74">
      <w:pPr>
        <w:pStyle w:val="SingleTxtG"/>
      </w:pPr>
      <w:r>
        <w:t>83.</w:t>
      </w:r>
      <w:r>
        <w:tab/>
        <w:t>Wanneer een vrouw of meisje, na het ondergaan van een schadelijke praktijk of het weigeren daarvan, haar gezin of gemeenschap heeft verlaten op zoek naar een toevluchtsoord, dan dient haar beslissing tot terugkeer te worden gesteund met voldoende landelijke beschermingsmechanismen. Bij de hulp aan haar om deze vrije en weloverwogen beslissing te nemen dienen deze mechanismen haar veilige terugkeer en re-integratie te waarborgen, op basis van het beginsel dat het in haar belang is, terwijl ook wordt vermeden dat zij opnieuw slachtoffer wordt. In dat soort situaties dienen deze slachtoffers op de voet gevolgd en gecontroleerd te worden, om te waarborgen zij beschermd zijn en zowel op de korte als lange termijn van hun rechten kunnen genieten.</w:t>
      </w:r>
    </w:p>
    <w:p w14:paraId="2EEFEEF2" w14:textId="77777777" w:rsidR="00DB6B74" w:rsidRPr="00DB6B74" w:rsidRDefault="00DB6B74" w:rsidP="00DB6B74">
      <w:pPr>
        <w:pStyle w:val="SingleTxtG"/>
      </w:pPr>
      <w:r>
        <w:t>84.</w:t>
      </w:r>
      <w:r>
        <w:tab/>
        <w:t>Slachtoffers op zoek naar gerechtigheid voor de schending van hun rechten vanwege schadelijke praktijken krijgen vaak te maken met stigmatisering, intimidatie, het risico opnieuw slachtoffer te worden en mogelijk zelfs vergelding. Derhalve dienen er zodanige maatregelen getroffen te worden dat de rechten van vrouwen en meisjes gedurende de hele juridische gang beschermd zijn conform het bepaalde in artikel 2 sub c, 15 sub b en c CEDAW-verdrag en dat kinderen daadwerkelijk kunnen deelnemen aan de gerechtelijke procedure als onderdeel van hun recht om gehoord te worden, zoals bepaald in artikel 12 VRK.</w:t>
      </w:r>
    </w:p>
    <w:p w14:paraId="45AE866A" w14:textId="77777777" w:rsidR="00DB6B74" w:rsidRPr="00DB6B74" w:rsidRDefault="00DB6B74" w:rsidP="00DB6B74">
      <w:pPr>
        <w:pStyle w:val="SingleTxtG"/>
      </w:pPr>
      <w:r>
        <w:t>85.</w:t>
      </w:r>
      <w:r>
        <w:tab/>
        <w:t>Veel migranten verkeren in een onzekere economische en juridische situatie waardoor zij eerder ten prooi kunnen vallen aan alle vormen van geweld, waaronder schadelijke praktijken. Migrantenvrouwen en -kinderen hebben vaak niet in dezelfde mate toegang tot geschikte hulpverlening als staatsburgers.</w:t>
      </w:r>
    </w:p>
    <w:p w14:paraId="53677BCE" w14:textId="77777777" w:rsidR="00DB6B74" w:rsidRPr="00DB6B74" w:rsidRDefault="00DB6B74" w:rsidP="00DB6B74">
      <w:pPr>
        <w:pStyle w:val="SingleTxtG"/>
        <w:rPr>
          <w:b/>
        </w:rPr>
      </w:pPr>
      <w:r>
        <w:t>86.</w:t>
      </w:r>
      <w:r>
        <w:rPr>
          <w:b/>
        </w:rPr>
        <w:tab/>
        <w:t xml:space="preserve">De comités adviseren Staten die partij bij de verdragen zijn: </w:t>
      </w:r>
    </w:p>
    <w:p w14:paraId="44056BDF" w14:textId="77777777" w:rsidR="00DB6B74" w:rsidRPr="00DB6B74" w:rsidRDefault="00DB6B74" w:rsidP="002061F8">
      <w:pPr>
        <w:pStyle w:val="SingleTxtG"/>
        <w:ind w:firstLine="567"/>
      </w:pPr>
      <w:r>
        <w:t>(a)</w:t>
      </w:r>
      <w:r>
        <w:tab/>
        <w:t xml:space="preserve">te zorgen dat hulpdiensten die bescherming bieden een passend mandaat en voldoende middelen krijgen om alle benodigde preventieve en beschermende hulp te bieden aan kinderen en vrouwen die slachtoffer van schadelijke praktijken zijn geworden of dreigen daar slachtoffer van te worden. </w:t>
      </w:r>
    </w:p>
    <w:p w14:paraId="1F082248" w14:textId="1CFFBBB9" w:rsidR="00DB6B74" w:rsidRPr="00DB6B74" w:rsidRDefault="00DB6B74" w:rsidP="002061F8">
      <w:pPr>
        <w:pStyle w:val="SingleTxtG"/>
        <w:ind w:firstLine="567"/>
      </w:pPr>
      <w:r>
        <w:t>(b)</w:t>
      </w:r>
      <w:r>
        <w:tab/>
        <w:t xml:space="preserve">een gratis, 24-uur beschikbare hulplijn op te zetten met getrainde hulpverleners zodat slachtoffers melding kunnen maken van een situatie waarin een schadelijke praktijk </w:t>
      </w:r>
      <w:r w:rsidR="00E73A64">
        <w:lastRenderedPageBreak/>
        <w:t>waarschijnlijk</w:t>
      </w:r>
      <w:r>
        <w:t xml:space="preserve"> gaat plaatsvinden c.q. daadwerkelijk heeft plaatsgevonden, verwezen kunnen worden naar de benodigde instanties en juiste voorlichting over schadelijke praktijken krijgen;</w:t>
      </w:r>
    </w:p>
    <w:p w14:paraId="1617D696" w14:textId="0F300054" w:rsidR="00DB6B74" w:rsidRPr="00DB6B74" w:rsidRDefault="00DB6B74" w:rsidP="002061F8">
      <w:pPr>
        <w:pStyle w:val="SingleTxtG"/>
        <w:ind w:firstLine="567"/>
      </w:pPr>
      <w:r>
        <w:t>(c)</w:t>
      </w:r>
      <w:r>
        <w:tab/>
        <w:t xml:space="preserve">capaciteitsopbouwprogramma's te ontwikkelen en in te voeren om degenen die bescherming bieden, zoals gerechtsdienaren (rechters, advocaten en officieren van justitie) en alle andere relevante belanghebbenden op te leiden in de wet- en regelgeving op grond waarvan discriminatie verboden is, en in de toepassing </w:t>
      </w:r>
      <w:r w:rsidR="00E73A64">
        <w:t>daarvan</w:t>
      </w:r>
      <w:r>
        <w:t xml:space="preserve"> op een manier waarbij men oog heeft voor leeftijd en geslacht van de dader/het slachtoffer, zodat dit geschiedt conform het bepaalde in de beide verdragen;</w:t>
      </w:r>
    </w:p>
    <w:p w14:paraId="2B8FF556" w14:textId="77777777" w:rsidR="00DB6B74" w:rsidRPr="00DB6B74" w:rsidRDefault="00DB6B74" w:rsidP="002061F8">
      <w:pPr>
        <w:pStyle w:val="SingleTxtG"/>
        <w:ind w:firstLine="567"/>
      </w:pPr>
      <w:r>
        <w:t>(d)</w:t>
      </w:r>
      <w:r>
        <w:tab/>
        <w:t xml:space="preserve">te zorgen dat kinderen die aan een gerechtelijke procedure deelnemen toegang hebben tot passende hulp met oog voor het kind zodat hun rechten en veiligheid worden bewaakt en de mogelijk negatieve invloed van de procedure zo beperkt mogelijk blijft. Beschermende maatregelen kunnen onder meer zijn: het beperken van het aantal keren dat een slachtoffer een verklaring moet afleggen en niet verlangen dat hij/zij de dader(s) onder ogen moet komen. Andere maatregelen kunnen zijn: de benoeming van een bijzonder </w:t>
      </w:r>
      <w:r>
        <w:rPr>
          <w:i/>
        </w:rPr>
        <w:t>curator</w:t>
      </w:r>
      <w:r>
        <w:t xml:space="preserve"> (vooral wanneer de dader een ouder of wettelijk voogd is) en zorgen dat kindslachtoffers</w:t>
      </w:r>
      <w:bookmarkStart w:id="5" w:name="_GoBack"/>
      <w:bookmarkEnd w:id="5"/>
      <w:r>
        <w:t xml:space="preserve"> toegang hebben tot voor hen bestemde geschikte informatie over de procedure en goed begrijpen wat ze kunnen verwachten; </w:t>
      </w:r>
    </w:p>
    <w:p w14:paraId="4CC3AA99" w14:textId="77777777" w:rsidR="00DB6B74" w:rsidRPr="00DB6B74" w:rsidRDefault="00DB6B74" w:rsidP="002061F8">
      <w:pPr>
        <w:pStyle w:val="SingleTxtG"/>
        <w:ind w:firstLine="567"/>
      </w:pPr>
      <w:r>
        <w:t>(e)</w:t>
      </w:r>
      <w:r>
        <w:tab/>
        <w:t xml:space="preserve">te zorgen dat migrantenvrouwen en -kinderen gelijkelijk toegang hebben tot voorzieningen, ongeacht hun rechtspositie. </w:t>
      </w:r>
    </w:p>
    <w:p w14:paraId="09749EEE" w14:textId="77777777" w:rsidR="00DB6B74" w:rsidRPr="00DB6B74" w:rsidRDefault="00280754" w:rsidP="00280754">
      <w:pPr>
        <w:pStyle w:val="H1G"/>
      </w:pPr>
      <w:r>
        <w:tab/>
        <w:t>8.</w:t>
      </w:r>
      <w:r>
        <w:tab/>
        <w:t>Verspreiding en gebruik van de General Recommendation/General Comment en rapportering</w:t>
      </w:r>
    </w:p>
    <w:p w14:paraId="5A01C0CA" w14:textId="77777777" w:rsidR="00DB6B74" w:rsidRPr="00DB6B74" w:rsidRDefault="00DB6B74" w:rsidP="00DB6B74">
      <w:pPr>
        <w:pStyle w:val="SingleTxtG"/>
      </w:pPr>
      <w:r>
        <w:t>87.</w:t>
      </w:r>
      <w:r>
        <w:tab/>
        <w:t>Staten die partij bij beide verdragen zijn dienen de huidige gezamenlijke GR/GC in ruime mate te verspreiden onder parlement, de overheid en de rechterlijke macht, zowel landelijk als plaatselijk. Ook dient bekend te worden gemaakt aan alle kinderen en vrouwen en alle relevante beroepsbeoefenaren en belanghebbenden, onder wie degenen die voor en met kinderen werken (d.w.z. rechters, advocaten, politie en andere wetshandhavingsinstanties, leraren, voogden, maatschappelijk werkers, personeel van openbare of particuliere welzijnsinstellingen en opvangcentra, en gezondheidszorgverleners), en de maatschappij als geheel. Deze gezamenlijke GR/GC dient te worden vertaald in relevante talen en er dienen kindvriendelijke/geschikte versies en formats beschikbaar te worden gesteld zodat deze toegankelijk zijn voor personen met een handicap. Er dienen conferenties, seminars, workshops en andere evenementen te worden gehouden om good practices uit te wisselen over hoe deze gezamenlijke GR/GC het best kan worden toegepast. Deze gezamenlijke GR/GC dient ook te worden opgenomen in de formele opleiding en bijscholing van alle betrokken beroepsbeoefenaren en in het bijzonder technisch personeel, en dient ter beschikking te worden gesteld van alle nationale en lokale mensenrechteninstellingen, vrouwenorganisaties en andere maatschappelijke mensenrechtenorganisaties.</w:t>
      </w:r>
    </w:p>
    <w:p w14:paraId="104DE54B" w14:textId="77777777" w:rsidR="0001210F" w:rsidRPr="00DB6B74" w:rsidRDefault="00DB6B74" w:rsidP="00DB6B74">
      <w:pPr>
        <w:pStyle w:val="SingleTxtG"/>
      </w:pPr>
      <w:r>
        <w:t>88.</w:t>
      </w:r>
      <w:r>
        <w:tab/>
        <w:t xml:space="preserve">Staten die partij bij beide verdragen zijn dienen in hun rapportages op grond van het CEDAW-verdrag en het VRK informatie op te nemen over de aard en mate van houdingen, gebruiken en maatschappelijke normen waardoor schadelijke praktijken in stand blijven en over de maatregelen die naar aanleiding van deze GR/GC zijn geïmplementeerd, alsmede de effecten daarvan. </w:t>
      </w:r>
    </w:p>
    <w:p w14:paraId="176234E8" w14:textId="77777777" w:rsidR="00DB6B74" w:rsidRPr="00280754" w:rsidRDefault="00280754" w:rsidP="00280754">
      <w:pPr>
        <w:pStyle w:val="H1G"/>
      </w:pPr>
      <w:r>
        <w:tab/>
        <w:t>9.</w:t>
      </w:r>
      <w:r>
        <w:tab/>
        <w:t>Ratificatie van of toetreding tot de verdragen en voorbehouden</w:t>
      </w:r>
    </w:p>
    <w:p w14:paraId="2D9466C6" w14:textId="77777777" w:rsidR="00DB6B74" w:rsidRPr="00DB6B74" w:rsidRDefault="00DB6B74" w:rsidP="00DB6B74">
      <w:pPr>
        <w:pStyle w:val="SingleTxtG"/>
      </w:pPr>
      <w:r>
        <w:t>89.</w:t>
      </w:r>
      <w:r>
        <w:tab/>
        <w:t>Staten die partij bij een van de verdragen zijn, worden aangemoedigd over te gaan tot ratificatie van:</w:t>
      </w:r>
    </w:p>
    <w:p w14:paraId="31378024" w14:textId="77777777" w:rsidR="00DB6B74" w:rsidRPr="00DB6B74" w:rsidRDefault="00DB6B74" w:rsidP="002061F8">
      <w:pPr>
        <w:pStyle w:val="SingleTxtG"/>
        <w:ind w:firstLine="567"/>
      </w:pPr>
      <w:r>
        <w:lastRenderedPageBreak/>
        <w:t>(a)</w:t>
      </w:r>
      <w:r>
        <w:tab/>
        <w:t>het Facultatief Protocol bij het Verdrag inzake de uitbanning van alle vormen van discriminatie van vrouwen (1999);</w:t>
      </w:r>
    </w:p>
    <w:p w14:paraId="393BA01F" w14:textId="77777777" w:rsidR="00DB6B74" w:rsidRPr="00DB6B74" w:rsidRDefault="00DB6B74" w:rsidP="002061F8">
      <w:pPr>
        <w:pStyle w:val="SingleTxtG"/>
        <w:ind w:firstLine="567"/>
      </w:pPr>
      <w:r>
        <w:t>(b)</w:t>
      </w:r>
      <w:r>
        <w:tab/>
        <w:t>het Facultatief Protocol bij het Verdrag inzake de rechten van het kind betreffende de verkoop van kinderen, kinderprostitutie en kinderpornografie (2000);</w:t>
      </w:r>
    </w:p>
    <w:p w14:paraId="3F7AA432" w14:textId="77777777" w:rsidR="00DB6B74" w:rsidRPr="00DB6B74" w:rsidRDefault="00DB6B74" w:rsidP="002061F8">
      <w:pPr>
        <w:pStyle w:val="SingleTxtG"/>
        <w:ind w:firstLine="567"/>
      </w:pPr>
      <w:r>
        <w:t>(c)</w:t>
      </w:r>
      <w:r>
        <w:tab/>
        <w:t>het Facultatief Protocol bij het Verdrag inzake de rechten van het kind inzake de betrokkenheid van kinderen in gewapende conflicten (2000);</w:t>
      </w:r>
    </w:p>
    <w:p w14:paraId="5EF9F152" w14:textId="77777777" w:rsidR="00DB6B74" w:rsidRPr="00DB6B74" w:rsidRDefault="00DB6B74" w:rsidP="002061F8">
      <w:pPr>
        <w:pStyle w:val="SingleTxtG"/>
        <w:ind w:firstLine="567"/>
      </w:pPr>
      <w:r>
        <w:t>(d)</w:t>
      </w:r>
      <w:r>
        <w:tab/>
        <w:t>het Facultatief Protocol bij het Verdrag voor de Rechten van het Kind inzake een communicatieprocedure (2011).</w:t>
      </w:r>
    </w:p>
    <w:p w14:paraId="35ABCADB" w14:textId="77777777" w:rsidR="00416DB5" w:rsidRDefault="00DB6B74" w:rsidP="00DB6B74">
      <w:pPr>
        <w:pStyle w:val="SingleTxtG"/>
      </w:pPr>
      <w:r>
        <w:t>90.</w:t>
      </w:r>
      <w:r>
        <w:tab/>
        <w:t>Staten die partij bij de verdragen zijn dienen hun voorbehouden met betrekking tot artikel 2, 5 en 16 CEDAW-verdrag en artikel 19 en 24 lid 3 VRK opnieuw te bezien en aan te passen of in te trekken. Het CEDAW-comité is van mening dat voorbehouden bij deze artikelen in principe niet verenigbaar zijn met het onderwerp en doel van de verdragen en derhalve niet toegestaan zijn op grond van artikel 28 lid 2 van het CEDAW-verdrag.</w:t>
      </w:r>
    </w:p>
    <w:p w14:paraId="1A91F4E6" w14:textId="77777777" w:rsidR="00280754" w:rsidRPr="00280754" w:rsidRDefault="00280754" w:rsidP="00280754">
      <w:pPr>
        <w:pStyle w:val="SingleTxtG"/>
        <w:spacing w:before="240" w:after="0"/>
        <w:jc w:val="center"/>
        <w:rPr>
          <w:u w:val="single"/>
        </w:rPr>
      </w:pPr>
      <w:r>
        <w:rPr>
          <w:u w:val="single"/>
        </w:rPr>
        <w:tab/>
      </w:r>
      <w:r>
        <w:rPr>
          <w:u w:val="single"/>
        </w:rPr>
        <w:tab/>
      </w:r>
      <w:r>
        <w:rPr>
          <w:u w:val="single"/>
        </w:rPr>
        <w:tab/>
      </w:r>
    </w:p>
    <w:sectPr w:rsidR="00280754" w:rsidRPr="00280754" w:rsidSect="00DB6B74">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1843"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C3F92" w14:textId="77777777" w:rsidR="0031360B" w:rsidRDefault="0031360B"/>
  </w:endnote>
  <w:endnote w:type="continuationSeparator" w:id="0">
    <w:p w14:paraId="35A1AE67" w14:textId="77777777" w:rsidR="0031360B" w:rsidRDefault="0031360B"/>
  </w:endnote>
  <w:endnote w:type="continuationNotice" w:id="1">
    <w:p w14:paraId="70A3CF47" w14:textId="77777777" w:rsidR="0031360B" w:rsidRDefault="00313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7503" w14:textId="77777777" w:rsidR="00D22FD0" w:rsidRPr="00D22FD0" w:rsidRDefault="00D22FD0" w:rsidP="00D22FD0">
    <w:pPr>
      <w:pStyle w:val="Footer"/>
      <w:tabs>
        <w:tab w:val="right" w:pos="9638"/>
      </w:tabs>
    </w:pPr>
    <w:r w:rsidRPr="00D22FD0">
      <w:rPr>
        <w:b/>
        <w:sz w:val="18"/>
      </w:rPr>
      <w:fldChar w:fldCharType="begin"/>
    </w:r>
    <w:r w:rsidRPr="00D22FD0">
      <w:rPr>
        <w:b/>
        <w:sz w:val="18"/>
      </w:rPr>
      <w:instrText xml:space="preserve"> PAGE  \* MERGEFORMAT </w:instrText>
    </w:r>
    <w:r w:rsidRPr="00D22FD0">
      <w:rPr>
        <w:b/>
        <w:sz w:val="18"/>
      </w:rPr>
      <w:fldChar w:fldCharType="separate"/>
    </w:r>
    <w:r w:rsidR="00487E12">
      <w:rPr>
        <w:b/>
        <w:sz w:val="18"/>
      </w:rPr>
      <w:t>20</w:t>
    </w:r>
    <w:r w:rsidRPr="00D22F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66104" w14:textId="77777777" w:rsidR="00D22FD0" w:rsidRPr="00D22FD0" w:rsidRDefault="00D22FD0" w:rsidP="00D22FD0">
    <w:pPr>
      <w:pStyle w:val="Footer"/>
      <w:tabs>
        <w:tab w:val="right" w:pos="9638"/>
      </w:tabs>
      <w:rPr>
        <w:b/>
        <w:sz w:val="18"/>
      </w:rPr>
    </w:pPr>
    <w:r>
      <w:tab/>
    </w:r>
    <w:r w:rsidRPr="00D22FD0">
      <w:rPr>
        <w:b/>
        <w:sz w:val="18"/>
      </w:rPr>
      <w:fldChar w:fldCharType="begin"/>
    </w:r>
    <w:r w:rsidRPr="00D22FD0">
      <w:rPr>
        <w:b/>
        <w:sz w:val="18"/>
      </w:rPr>
      <w:instrText xml:space="preserve"> PAGE  \* MERGEFORMAT </w:instrText>
    </w:r>
    <w:r w:rsidRPr="00D22FD0">
      <w:rPr>
        <w:b/>
        <w:sz w:val="18"/>
      </w:rPr>
      <w:fldChar w:fldCharType="separate"/>
    </w:r>
    <w:r w:rsidR="00487E12">
      <w:rPr>
        <w:b/>
        <w:sz w:val="18"/>
      </w:rPr>
      <w:t>21</w:t>
    </w:r>
    <w:r w:rsidRPr="00D22F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72F7" w14:textId="719AED7E" w:rsidR="00DE0130" w:rsidRPr="00D22FD0" w:rsidRDefault="00D77B79" w:rsidP="009B4A1B">
    <w:pPr>
      <w:pStyle w:val="Footer"/>
      <w:rPr>
        <w:sz w:val="20"/>
      </w:rPr>
    </w:pPr>
    <w:r>
      <w:rPr>
        <w:noProof/>
      </w:rPr>
      <w:drawing>
        <wp:anchor distT="0" distB="0" distL="114300" distR="114300" simplePos="0" relativeHeight="251657728" behindDoc="0" locked="1" layoutInCell="1" allowOverlap="1" wp14:anchorId="143A6CA1" wp14:editId="62EB2297">
          <wp:simplePos x="0" y="0"/>
          <wp:positionH relativeFrom="column">
            <wp:posOffset>5148580</wp:posOffset>
          </wp:positionH>
          <wp:positionV relativeFrom="paragraph">
            <wp:posOffset>-108585</wp:posOffset>
          </wp:positionV>
          <wp:extent cx="930275" cy="230505"/>
          <wp:effectExtent l="0" t="0" r="0" b="0"/>
          <wp:wrapNone/>
          <wp:docPr id="4" name="Afbeelding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1DB7" w14:textId="77777777" w:rsidR="0031360B" w:rsidRPr="000B175B" w:rsidRDefault="0031360B" w:rsidP="000B175B">
      <w:pPr>
        <w:tabs>
          <w:tab w:val="right" w:pos="2155"/>
        </w:tabs>
        <w:spacing w:after="80"/>
        <w:ind w:left="680"/>
        <w:rPr>
          <w:u w:val="single"/>
        </w:rPr>
      </w:pPr>
      <w:r>
        <w:rPr>
          <w:u w:val="single"/>
        </w:rPr>
        <w:tab/>
      </w:r>
    </w:p>
  </w:footnote>
  <w:footnote w:type="continuationSeparator" w:id="0">
    <w:p w14:paraId="0D47EF0E" w14:textId="77777777" w:rsidR="0031360B" w:rsidRPr="00FC68B7" w:rsidRDefault="0031360B" w:rsidP="00FC68B7">
      <w:pPr>
        <w:tabs>
          <w:tab w:val="left" w:pos="2155"/>
        </w:tabs>
        <w:spacing w:after="80"/>
        <w:ind w:left="680"/>
        <w:rPr>
          <w:u w:val="single"/>
        </w:rPr>
      </w:pPr>
      <w:r>
        <w:rPr>
          <w:u w:val="single"/>
        </w:rPr>
        <w:tab/>
      </w:r>
    </w:p>
  </w:footnote>
  <w:footnote w:type="continuationNotice" w:id="1">
    <w:p w14:paraId="7C0E651A" w14:textId="77777777" w:rsidR="0031360B" w:rsidRDefault="0031360B"/>
  </w:footnote>
  <w:footnote w:id="2">
    <w:p w14:paraId="20660C38" w14:textId="77777777" w:rsidR="00DB6B74" w:rsidRPr="00E73A64" w:rsidRDefault="00280754" w:rsidP="00DB6B74">
      <w:pPr>
        <w:pStyle w:val="FootnoteText"/>
        <w:spacing w:line="240" w:lineRule="auto"/>
        <w:jc w:val="both"/>
        <w:rPr>
          <w:lang w:val="fr-FR"/>
        </w:rPr>
      </w:pPr>
      <w:r>
        <w:rPr>
          <w:rFonts w:ascii="Cambria" w:hAnsi="Cambria"/>
        </w:rPr>
        <w:tab/>
      </w:r>
      <w:r>
        <w:tab/>
      </w:r>
      <w:r>
        <w:rPr>
          <w:rStyle w:val="FootnoteReference"/>
        </w:rPr>
        <w:footnoteRef/>
      </w:r>
      <w:r w:rsidRPr="00E73A64">
        <w:rPr>
          <w:lang w:val="fr-FR"/>
        </w:rPr>
        <w:t xml:space="preserve"> CEDAW GR Nr. 19 (1992), par. 11 en CRC GC Nr. 9 (2006) par. 8, 10 en 79 en CRC GC Nr. 15 par. 8 en 9.</w:t>
      </w:r>
    </w:p>
  </w:footnote>
  <w:footnote w:id="3">
    <w:p w14:paraId="05EF8EDF" w14:textId="77777777" w:rsidR="00DB6B74" w:rsidRPr="00280754" w:rsidRDefault="00280754" w:rsidP="00DB6B74">
      <w:pPr>
        <w:pStyle w:val="FootnoteText"/>
        <w:spacing w:line="240" w:lineRule="auto"/>
        <w:jc w:val="both"/>
      </w:pPr>
      <w:r w:rsidRPr="00E73A64">
        <w:rPr>
          <w:lang w:val="fr-FR"/>
        </w:rPr>
        <w:tab/>
      </w:r>
      <w:r w:rsidRPr="00E73A64">
        <w:rPr>
          <w:lang w:val="fr-FR"/>
        </w:rPr>
        <w:tab/>
      </w:r>
      <w:r>
        <w:rPr>
          <w:rStyle w:val="FootnoteReference"/>
        </w:rPr>
        <w:footnoteRef/>
      </w:r>
      <w:r>
        <w:t xml:space="preserve"> CEDAW GR Nr. 28 (2011) inzake de </w:t>
      </w:r>
      <w:proofErr w:type="spellStart"/>
      <w:r>
        <w:t>kernverplichtinge</w:t>
      </w:r>
      <w:proofErr w:type="spellEnd"/>
      <w:r>
        <w:t xml:space="preserve"> van Staten die partij bij het verdrag zijn op grond van artikel 2 van het CEDAW-verdrag, par. 18.</w:t>
      </w:r>
    </w:p>
  </w:footnote>
  <w:footnote w:id="4">
    <w:p w14:paraId="5248C246" w14:textId="77777777" w:rsidR="002231EA" w:rsidRPr="00E73A64" w:rsidRDefault="002231EA" w:rsidP="002231EA">
      <w:pPr>
        <w:pStyle w:val="FootnoteText"/>
        <w:widowControl w:val="0"/>
        <w:tabs>
          <w:tab w:val="clear" w:pos="1021"/>
          <w:tab w:val="right" w:pos="1020"/>
        </w:tabs>
        <w:rPr>
          <w:lang w:val="fr-FR"/>
        </w:rPr>
      </w:pPr>
      <w:r>
        <w:tab/>
      </w:r>
      <w:r>
        <w:tab/>
      </w:r>
      <w:r>
        <w:rPr>
          <w:rStyle w:val="FootnoteReference"/>
        </w:rPr>
        <w:footnoteRef/>
      </w:r>
      <w:r w:rsidRPr="00E73A64">
        <w:rPr>
          <w:lang w:val="fr-FR"/>
        </w:rPr>
        <w:t xml:space="preserve"> Zie CEDAW GR Nr. 19 (1992), par. 11 en CRC GC Nr. 13 (2011), par. 29.</w:t>
      </w:r>
    </w:p>
  </w:footnote>
  <w:footnote w:id="5">
    <w:p w14:paraId="4C51D949" w14:textId="77777777" w:rsidR="00DB6B74" w:rsidRPr="00280754" w:rsidRDefault="00280754" w:rsidP="00DB6B74">
      <w:pPr>
        <w:pStyle w:val="FootnoteText"/>
        <w:spacing w:line="240" w:lineRule="auto"/>
        <w:jc w:val="both"/>
      </w:pPr>
      <w:r w:rsidRPr="00E73A64">
        <w:rPr>
          <w:lang w:val="fr-FR"/>
        </w:rPr>
        <w:tab/>
      </w:r>
      <w:r w:rsidRPr="00E73A64">
        <w:rPr>
          <w:lang w:val="fr-FR"/>
        </w:rPr>
        <w:tab/>
      </w:r>
      <w:r>
        <w:rPr>
          <w:rStyle w:val="FootnoteReference"/>
        </w:rPr>
        <w:footnoteRef/>
      </w:r>
      <w:r>
        <w:t xml:space="preserve"> Zie VN-onderzoek van de Secretaris Generaal naar geweld tegen kinderen, A/61/299 (2006), par. 46.</w:t>
      </w:r>
    </w:p>
  </w:footnote>
  <w:footnote w:id="6">
    <w:p w14:paraId="7B09A7E6" w14:textId="77777777" w:rsidR="00DB6B74" w:rsidRPr="00280754" w:rsidRDefault="00280754" w:rsidP="00DB6B74">
      <w:pPr>
        <w:pStyle w:val="FootnoteText"/>
        <w:spacing w:line="240" w:lineRule="auto"/>
        <w:jc w:val="both"/>
      </w:pPr>
      <w:r>
        <w:rPr>
          <w:rFonts w:ascii="Cambria" w:hAnsi="Cambria"/>
        </w:rPr>
        <w:tab/>
      </w:r>
      <w:r>
        <w:rPr>
          <w:rFonts w:ascii="Cambria" w:hAnsi="Cambria"/>
        </w:rPr>
        <w:tab/>
      </w:r>
      <w:r>
        <w:rPr>
          <w:rStyle w:val="FootnoteReference"/>
        </w:rPr>
        <w:footnoteRef/>
      </w:r>
      <w:r>
        <w:rPr>
          <w:rFonts w:ascii="Cambria" w:hAnsi="Cambria"/>
        </w:rPr>
        <w:t xml:space="preserve"> </w:t>
      </w:r>
      <w:r>
        <w:t>Tot nu toe heeft het CEDAW-comité in negen van zijn General Recommendations gewag gemaakt van schadelijke praktijken, waaronder in GR Nr. 3 (1987) over de implementatie van artikel 5 van het Verdrag, GR Nr. 14 (1990) over vrouwelijke genitale verminking, GR Nr. 19 (1992) over geweld tegen vrouwen, GR Nr. 21 (1994) over gelijkheid in de echtelijke relatie en de gezinsverhouding, GR Nr. 24 (1999) over vrouwen en gezondheid, GR Nr. 25 (2004) over tijdelijke bijzondere maatregelen, GR Nr. 28 (2010) over de kernverplichtingen van Staten die partij bij het Verdrag zijn op grond van artikel 2 van dat Verdrag, GR Nr. 29 (2013) over economische gevolgen van het huwelijk, gezinsrelaties en ontbinding ervan alsmede GR Nr. 30 (2013) over vrouwen en het vermijden van conflicten, situaties tijdens en na een conflict. In zijn GR/GC Nr. 8 (2006) over het recht van het kind op bescherming tegen lijfstraffen en andere vormen van onmenselijke en vernederende behandeling en in GC Nr. 13 (2011) over het recht van het kind op bescherming tegen alle vormen van geweld, geeft het Kinderrechtencomité een niet-uitputtende lijst met schadelijke praktijken.</w:t>
      </w:r>
    </w:p>
  </w:footnote>
  <w:footnote w:id="7">
    <w:p w14:paraId="3C7B0F5A" w14:textId="77777777" w:rsidR="00DB6B74" w:rsidRPr="00280754" w:rsidRDefault="00280754" w:rsidP="00DB6B74">
      <w:pPr>
        <w:pStyle w:val="FootnoteText"/>
        <w:spacing w:line="240" w:lineRule="auto"/>
        <w:jc w:val="both"/>
      </w:pPr>
      <w:r>
        <w:tab/>
      </w:r>
      <w:r>
        <w:tab/>
      </w:r>
      <w:r>
        <w:rPr>
          <w:rStyle w:val="FootnoteReference"/>
        </w:rPr>
        <w:footnoteRef/>
      </w:r>
      <w:r>
        <w:t xml:space="preserve"> </w:t>
      </w:r>
      <w:r>
        <w:rPr>
          <w:bCs/>
          <w:color w:val="000000"/>
        </w:rPr>
        <w:t xml:space="preserve">Een </w:t>
      </w:r>
      <w:proofErr w:type="spellStart"/>
      <w:r>
        <w:rPr>
          <w:bCs/>
          <w:color w:val="000000"/>
        </w:rPr>
        <w:t>inspaningsverplichting</w:t>
      </w:r>
      <w:proofErr w:type="spellEnd"/>
      <w:r>
        <w:rPr>
          <w:bCs/>
          <w:color w:val="000000"/>
        </w:rPr>
        <w:t xml:space="preserve"> dient te worden gezien als een verplichting van Staten die partij bij de verdragen zijn </w:t>
      </w:r>
      <w:r>
        <w:rPr>
          <w:color w:val="000000"/>
        </w:rPr>
        <w:t xml:space="preserve">om geweld of mensenrechtenschendingen te voorkomen, slachtoffers en getuigen van mensenrechtenschendingen te beschermen, om onderzoek te doen en de verantwoordelijken, waaronder private actoren, te straffen en om toegang te verlenen tot verhaalsmogelijkheden bij mensenrechtenschendingen. </w:t>
      </w:r>
      <w:r>
        <w:t>CEDAW GR Nr. 19 (1992), par. 9, CRC GC Nr. 13 (2011), par. 5; CEDAW GR Nr. 28 (2011), par. 13; CEDAW GR Nr. 30, par. 15; zienswijze en besluiten van het Comité voor het CEDAW-verdrag inzake individuele mededelingen en verzoeken om inlichtingen.</w:t>
      </w:r>
    </w:p>
  </w:footnote>
  <w:footnote w:id="8">
    <w:p w14:paraId="5808BFA5" w14:textId="77777777" w:rsidR="00DB6B74" w:rsidRPr="00E73A64" w:rsidRDefault="00280754" w:rsidP="00DB6B74">
      <w:pPr>
        <w:pStyle w:val="FootnoteText"/>
        <w:spacing w:line="240" w:lineRule="auto"/>
        <w:jc w:val="both"/>
        <w:rPr>
          <w:szCs w:val="18"/>
          <w:lang w:val="fr-FR"/>
        </w:rPr>
      </w:pPr>
      <w:r>
        <w:tab/>
      </w:r>
      <w:r>
        <w:tab/>
      </w:r>
      <w:r>
        <w:rPr>
          <w:rStyle w:val="FootnoteReference"/>
          <w:szCs w:val="18"/>
        </w:rPr>
        <w:footnoteRef/>
      </w:r>
      <w:r w:rsidRPr="00E73A64">
        <w:rPr>
          <w:lang w:val="fr-FR"/>
        </w:rPr>
        <w:t xml:space="preserve"> CEDAW GR. Nr. 28 (2011), par. 38. (a) en CEDAW Slotobservaties en CRC GC Nr. 13 (2011), par. 40.</w:t>
      </w:r>
    </w:p>
  </w:footnote>
  <w:footnote w:id="9">
    <w:p w14:paraId="62ACEF83" w14:textId="77777777" w:rsidR="00DB6B74" w:rsidRPr="00280754" w:rsidRDefault="00280754" w:rsidP="00DB6B74">
      <w:pPr>
        <w:pStyle w:val="FootnoteText"/>
        <w:spacing w:line="240" w:lineRule="auto"/>
        <w:rPr>
          <w:szCs w:val="18"/>
        </w:rPr>
      </w:pPr>
      <w:r w:rsidRPr="00E73A64">
        <w:rPr>
          <w:lang w:val="fr-FR"/>
        </w:rPr>
        <w:tab/>
      </w:r>
      <w:r w:rsidRPr="00E73A64">
        <w:rPr>
          <w:lang w:val="fr-FR"/>
        </w:rPr>
        <w:tab/>
      </w:r>
      <w:r>
        <w:rPr>
          <w:rStyle w:val="FootnoteReference"/>
          <w:szCs w:val="18"/>
        </w:rPr>
        <w:footnoteRef/>
      </w:r>
      <w:r>
        <w:t xml:space="preserve"> Artikel 2, 5 en 16 CEDAW-verdrag en artikel 19 en 24 lid 3 VRK. </w:t>
      </w:r>
    </w:p>
  </w:footnote>
  <w:footnote w:id="10">
    <w:p w14:paraId="1F6D54E0" w14:textId="77777777" w:rsidR="00DB6B74" w:rsidRPr="00E73A64" w:rsidRDefault="00280754" w:rsidP="00DB6B74">
      <w:pPr>
        <w:pStyle w:val="FootnoteText"/>
        <w:spacing w:line="240" w:lineRule="auto"/>
        <w:jc w:val="both"/>
        <w:rPr>
          <w:lang w:val="en-US"/>
        </w:rPr>
      </w:pPr>
      <w:r>
        <w:rPr>
          <w:rFonts w:ascii="Cambria" w:hAnsi="Cambria"/>
        </w:rPr>
        <w:tab/>
      </w:r>
      <w:r>
        <w:tab/>
      </w:r>
      <w:r>
        <w:rPr>
          <w:rStyle w:val="FootnoteReference"/>
        </w:rPr>
        <w:footnoteRef/>
      </w:r>
      <w:r w:rsidRPr="00E73A64">
        <w:rPr>
          <w:lang w:val="en-US"/>
        </w:rPr>
        <w:t xml:space="preserve"> UNICEF, A promise renewed, 2012 http://www.apromiserenewed.org/</w:t>
      </w:r>
    </w:p>
  </w:footnote>
  <w:footnote w:id="11">
    <w:p w14:paraId="405DD883" w14:textId="77777777" w:rsidR="00DB6B74" w:rsidRPr="00280754" w:rsidRDefault="00280754" w:rsidP="00DB6B74">
      <w:pPr>
        <w:pStyle w:val="FootnoteText"/>
        <w:spacing w:line="240" w:lineRule="auto"/>
      </w:pPr>
      <w:r w:rsidRPr="00E73A64">
        <w:rPr>
          <w:rFonts w:ascii="Cambria" w:hAnsi="Cambria"/>
          <w:lang w:val="en-US"/>
        </w:rPr>
        <w:tab/>
      </w:r>
      <w:r w:rsidRPr="00E73A64">
        <w:rPr>
          <w:rFonts w:ascii="Cambria" w:hAnsi="Cambria"/>
          <w:lang w:val="en-US"/>
        </w:rPr>
        <w:tab/>
      </w:r>
      <w:r>
        <w:rPr>
          <w:rStyle w:val="FootnoteReference"/>
        </w:rPr>
        <w:footnoteRef/>
      </w:r>
      <w:r>
        <w:t xml:space="preserve"> CEDAW GR Nr. 30 (2013), par. 62.</w:t>
      </w:r>
    </w:p>
  </w:footnote>
  <w:footnote w:id="12">
    <w:p w14:paraId="6B47E9D6" w14:textId="77777777" w:rsidR="00DB6B74" w:rsidRDefault="00280754" w:rsidP="00DB6B74">
      <w:pPr>
        <w:pStyle w:val="FootnoteText"/>
      </w:pPr>
      <w:r>
        <w:tab/>
      </w:r>
      <w:r>
        <w:tab/>
      </w:r>
      <w:r>
        <w:rPr>
          <w:rStyle w:val="FootnoteReference"/>
        </w:rPr>
        <w:footnoteRef/>
      </w:r>
      <w:r>
        <w:t xml:space="preserve"> OP-CRC-SC artikel 2 sub (a) en artikel 3 lid 1a sub i).</w:t>
      </w:r>
    </w:p>
  </w:footnote>
  <w:footnote w:id="13">
    <w:p w14:paraId="40E2A530" w14:textId="77777777" w:rsidR="00DB6B74" w:rsidRPr="00280754" w:rsidRDefault="00280754" w:rsidP="00DB6B74">
      <w:pPr>
        <w:pStyle w:val="FootnoteText"/>
        <w:rPr>
          <w:color w:val="000000"/>
          <w:sz w:val="16"/>
          <w:szCs w:val="16"/>
          <w:shd w:val="clear" w:color="auto" w:fill="FFFFFF"/>
        </w:rPr>
      </w:pPr>
      <w:r>
        <w:tab/>
      </w:r>
      <w:r>
        <w:tab/>
      </w:r>
      <w:r>
        <w:rPr>
          <w:rStyle w:val="FootnoteReference"/>
        </w:rPr>
        <w:footnoteRef/>
      </w:r>
      <w:r>
        <w:t xml:space="preserve"> CEDAW GR Nr. 21 (1994), </w:t>
      </w:r>
      <w:r>
        <w:rPr>
          <w:color w:val="000000"/>
          <w:shd w:val="clear" w:color="auto" w:fill="FFFFFF"/>
        </w:rPr>
        <w:t xml:space="preserve">GR Nr. 28 (2010) </w:t>
      </w:r>
      <w:r>
        <w:t xml:space="preserve">en </w:t>
      </w:r>
      <w:r>
        <w:rPr>
          <w:color w:val="000000"/>
          <w:shd w:val="clear" w:color="auto" w:fill="FFFFFF"/>
        </w:rPr>
        <w:t xml:space="preserve">GR Nr. 29 (2013). </w:t>
      </w:r>
    </w:p>
  </w:footnote>
  <w:footnote w:id="14">
    <w:p w14:paraId="51E7F263" w14:textId="77777777" w:rsidR="00DB6B74" w:rsidRPr="00E73A64" w:rsidRDefault="00280754" w:rsidP="00DB6B74">
      <w:pPr>
        <w:pStyle w:val="FootnoteText"/>
        <w:rPr>
          <w:lang w:val="fr-FR"/>
        </w:rPr>
      </w:pPr>
      <w:r>
        <w:tab/>
      </w:r>
      <w:r>
        <w:tab/>
      </w:r>
      <w:r>
        <w:rPr>
          <w:rStyle w:val="FootnoteReference"/>
        </w:rPr>
        <w:footnoteRef/>
      </w:r>
      <w:r w:rsidRPr="00E73A64">
        <w:rPr>
          <w:lang w:val="fr-FR"/>
        </w:rPr>
        <w:t xml:space="preserve"> CEDAW GR Nr. 29. (2013), par. 27.</w:t>
      </w:r>
    </w:p>
  </w:footnote>
  <w:footnote w:id="15">
    <w:p w14:paraId="4A4A9289" w14:textId="77777777" w:rsidR="00DB6B74" w:rsidRPr="00E73A64" w:rsidRDefault="00280754" w:rsidP="00DB6B74">
      <w:pPr>
        <w:pStyle w:val="FootnoteText"/>
        <w:rPr>
          <w:lang w:val="fr-FR"/>
        </w:rPr>
      </w:pPr>
      <w:r w:rsidRPr="00E73A64">
        <w:rPr>
          <w:lang w:val="fr-FR"/>
        </w:rPr>
        <w:tab/>
      </w:r>
      <w:r w:rsidRPr="00E73A64">
        <w:rPr>
          <w:lang w:val="fr-FR"/>
        </w:rPr>
        <w:tab/>
      </w:r>
      <w:r>
        <w:rPr>
          <w:rStyle w:val="FootnoteReference"/>
        </w:rPr>
        <w:footnoteRef/>
      </w:r>
      <w:r w:rsidRPr="00E73A64">
        <w:rPr>
          <w:lang w:val="fr-FR"/>
        </w:rPr>
        <w:t xml:space="preserve"> CEDAW GR Nr. 25 (2004), par. 38.</w:t>
      </w:r>
    </w:p>
  </w:footnote>
  <w:footnote w:id="16">
    <w:p w14:paraId="29E4720E" w14:textId="77777777" w:rsidR="00DB6B74" w:rsidRPr="00280754" w:rsidRDefault="00280754" w:rsidP="00DB6B74">
      <w:pPr>
        <w:pStyle w:val="FootnoteText"/>
        <w:rPr>
          <w:rFonts w:ascii="Cambria" w:hAnsi="Cambria"/>
          <w:szCs w:val="18"/>
        </w:rPr>
      </w:pPr>
      <w:r w:rsidRPr="00E73A64">
        <w:rPr>
          <w:lang w:val="fr-FR"/>
        </w:rPr>
        <w:tab/>
      </w:r>
      <w:r w:rsidRPr="00E73A64">
        <w:rPr>
          <w:lang w:val="fr-FR"/>
        </w:rPr>
        <w:tab/>
      </w:r>
      <w:r>
        <w:rPr>
          <w:vertAlign w:val="superscript"/>
        </w:rPr>
        <w:footnoteRef/>
      </w:r>
      <w:r>
        <w:t xml:space="preserve"> CRC GC Nr. 14 (2013) over het recht van het kind dat zijn/haar belangen de eerste overweging vormen.</w:t>
      </w:r>
    </w:p>
  </w:footnote>
  <w:footnote w:id="17">
    <w:p w14:paraId="3BF84639" w14:textId="77777777" w:rsidR="00DB6B74" w:rsidRPr="00280754" w:rsidRDefault="00280754" w:rsidP="00DB6B74">
      <w:pPr>
        <w:pStyle w:val="FootnoteText"/>
        <w:spacing w:line="240" w:lineRule="auto"/>
        <w:jc w:val="both"/>
      </w:pPr>
      <w:r>
        <w:tab/>
      </w:r>
      <w:r>
        <w:tab/>
      </w:r>
      <w:r>
        <w:rPr>
          <w:rStyle w:val="FootnoteReference"/>
        </w:rPr>
        <w:footnoteRef/>
      </w:r>
      <w:r>
        <w:t xml:space="preserve"> Zie het CEDAW-verdrag, </w:t>
      </w:r>
      <w:proofErr w:type="spellStart"/>
      <w:r>
        <w:t>artt</w:t>
      </w:r>
      <w:proofErr w:type="spellEnd"/>
      <w:r>
        <w:t>. 2 sub a, 2 sub b, 2 sub c, 2 sub f en 5 en GC nr. 13 (2011) van het Kinderrechtenverdrag.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748E" w14:textId="77777777" w:rsidR="00D22FD0" w:rsidRPr="00D22FD0" w:rsidRDefault="00D22FD0">
    <w:pPr>
      <w:pStyle w:val="Header"/>
    </w:pPr>
    <w:r>
      <w:t>CEDAW/C/GC/31-CRC/C/GC/18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5443" w14:textId="77777777" w:rsidR="00D22FD0" w:rsidRPr="00D22FD0" w:rsidRDefault="00D22FD0" w:rsidP="00D22FD0">
    <w:pPr>
      <w:pStyle w:val="Header"/>
      <w:jc w:val="right"/>
    </w:pPr>
    <w:r>
      <w:t>CEDAW/C/GC/31-CRC/C/GC/18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3"/>
  </w:num>
  <w:num w:numId="12">
    <w:abstractNumId w:val="12"/>
  </w:num>
  <w:num w:numId="13">
    <w:abstractNumId w:val="11"/>
  </w:num>
  <w:num w:numId="14">
    <w:abstractNumId w:val="10"/>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C" w:vendorID="64" w:dllVersion="6" w:nlCheck="1" w:checkStyle="1"/>
  <w:activeWritingStyle w:appName="MSWord" w:lang="nl-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1" w:cryptProviderType="rsaAES" w:cryptAlgorithmClass="hash" w:cryptAlgorithmType="typeAny" w:cryptAlgorithmSid="14" w:cryptSpinCount="100000" w:hash="9jx0ZoipGVWsUes1Xoz5IqvhzcitepVSLudISSeV+L8iV4F1jYdea2NSioL9ZkEFBmHQ65D/KjQ1gBSXsB7RPA==" w:salt="LKTKDL4hJenozl7aJ/yX+Q=="/>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D0"/>
    <w:rsid w:val="00003F18"/>
    <w:rsid w:val="0001210F"/>
    <w:rsid w:val="00032FF2"/>
    <w:rsid w:val="00050F6B"/>
    <w:rsid w:val="000551DC"/>
    <w:rsid w:val="00072C8C"/>
    <w:rsid w:val="000733B5"/>
    <w:rsid w:val="00077485"/>
    <w:rsid w:val="000931C0"/>
    <w:rsid w:val="000A5D3B"/>
    <w:rsid w:val="000B175B"/>
    <w:rsid w:val="000B3A0F"/>
    <w:rsid w:val="000B4EF7"/>
    <w:rsid w:val="000C1462"/>
    <w:rsid w:val="000C1956"/>
    <w:rsid w:val="000C2D2E"/>
    <w:rsid w:val="000E0415"/>
    <w:rsid w:val="001103AA"/>
    <w:rsid w:val="00155467"/>
    <w:rsid w:val="00180292"/>
    <w:rsid w:val="00180D95"/>
    <w:rsid w:val="0018711F"/>
    <w:rsid w:val="001B4B04"/>
    <w:rsid w:val="001C6663"/>
    <w:rsid w:val="001C7895"/>
    <w:rsid w:val="001D26DF"/>
    <w:rsid w:val="001E5AA0"/>
    <w:rsid w:val="00202DA8"/>
    <w:rsid w:val="002061F8"/>
    <w:rsid w:val="00211E0B"/>
    <w:rsid w:val="002231EA"/>
    <w:rsid w:val="00280754"/>
    <w:rsid w:val="002B0464"/>
    <w:rsid w:val="002B6071"/>
    <w:rsid w:val="002C6D5C"/>
    <w:rsid w:val="002F175C"/>
    <w:rsid w:val="0031360B"/>
    <w:rsid w:val="00316264"/>
    <w:rsid w:val="003229D8"/>
    <w:rsid w:val="003305AB"/>
    <w:rsid w:val="00352709"/>
    <w:rsid w:val="00371178"/>
    <w:rsid w:val="003A4810"/>
    <w:rsid w:val="003A6810"/>
    <w:rsid w:val="003C2CC4"/>
    <w:rsid w:val="003D4B23"/>
    <w:rsid w:val="00401C2E"/>
    <w:rsid w:val="00405DDC"/>
    <w:rsid w:val="00410C89"/>
    <w:rsid w:val="004147D0"/>
    <w:rsid w:val="00416DB5"/>
    <w:rsid w:val="004325CB"/>
    <w:rsid w:val="0045495B"/>
    <w:rsid w:val="00473CF6"/>
    <w:rsid w:val="00487E12"/>
    <w:rsid w:val="004D25E4"/>
    <w:rsid w:val="00517B36"/>
    <w:rsid w:val="0053332C"/>
    <w:rsid w:val="005420F2"/>
    <w:rsid w:val="005B3DB3"/>
    <w:rsid w:val="005B5E1E"/>
    <w:rsid w:val="005C04AA"/>
    <w:rsid w:val="005C6A79"/>
    <w:rsid w:val="005F58AE"/>
    <w:rsid w:val="006001EE"/>
    <w:rsid w:val="00611FC4"/>
    <w:rsid w:val="006176FB"/>
    <w:rsid w:val="006357EC"/>
    <w:rsid w:val="00640B26"/>
    <w:rsid w:val="0065457C"/>
    <w:rsid w:val="0069479D"/>
    <w:rsid w:val="006B4BDB"/>
    <w:rsid w:val="006E564B"/>
    <w:rsid w:val="0072632A"/>
    <w:rsid w:val="00745245"/>
    <w:rsid w:val="007B112D"/>
    <w:rsid w:val="007B6BA5"/>
    <w:rsid w:val="007C3390"/>
    <w:rsid w:val="007C4F4B"/>
    <w:rsid w:val="007D6CD1"/>
    <w:rsid w:val="007E61A6"/>
    <w:rsid w:val="007F6462"/>
    <w:rsid w:val="007F6611"/>
    <w:rsid w:val="008216D5"/>
    <w:rsid w:val="008242D7"/>
    <w:rsid w:val="00832D01"/>
    <w:rsid w:val="00841C2E"/>
    <w:rsid w:val="0087769E"/>
    <w:rsid w:val="008979B1"/>
    <w:rsid w:val="008A6B25"/>
    <w:rsid w:val="008A6C4F"/>
    <w:rsid w:val="008B2335"/>
    <w:rsid w:val="009223CA"/>
    <w:rsid w:val="00925881"/>
    <w:rsid w:val="009369F6"/>
    <w:rsid w:val="00940F93"/>
    <w:rsid w:val="009603EF"/>
    <w:rsid w:val="009A6530"/>
    <w:rsid w:val="009B4A1B"/>
    <w:rsid w:val="009C0EE8"/>
    <w:rsid w:val="009C14AA"/>
    <w:rsid w:val="00A01489"/>
    <w:rsid w:val="00A3312E"/>
    <w:rsid w:val="00A61CCD"/>
    <w:rsid w:val="00A72F22"/>
    <w:rsid w:val="00A748A6"/>
    <w:rsid w:val="00A776B4"/>
    <w:rsid w:val="00A94361"/>
    <w:rsid w:val="00AA1AA7"/>
    <w:rsid w:val="00AB0CF4"/>
    <w:rsid w:val="00AC1552"/>
    <w:rsid w:val="00AD4B1D"/>
    <w:rsid w:val="00B06775"/>
    <w:rsid w:val="00B30179"/>
    <w:rsid w:val="00B56E9C"/>
    <w:rsid w:val="00B64B1F"/>
    <w:rsid w:val="00B6553F"/>
    <w:rsid w:val="00B81E12"/>
    <w:rsid w:val="00BC74E9"/>
    <w:rsid w:val="00BE05BB"/>
    <w:rsid w:val="00BF68A8"/>
    <w:rsid w:val="00C04EA2"/>
    <w:rsid w:val="00C05310"/>
    <w:rsid w:val="00C3206E"/>
    <w:rsid w:val="00C463DD"/>
    <w:rsid w:val="00C4724C"/>
    <w:rsid w:val="00C475AB"/>
    <w:rsid w:val="00C53A77"/>
    <w:rsid w:val="00C57F62"/>
    <w:rsid w:val="00C61EB7"/>
    <w:rsid w:val="00C629A0"/>
    <w:rsid w:val="00C745C3"/>
    <w:rsid w:val="00C75FB9"/>
    <w:rsid w:val="00CC00AC"/>
    <w:rsid w:val="00CC24D2"/>
    <w:rsid w:val="00CC2AE6"/>
    <w:rsid w:val="00CE4A8F"/>
    <w:rsid w:val="00D2031B"/>
    <w:rsid w:val="00D218CB"/>
    <w:rsid w:val="00D22FD0"/>
    <w:rsid w:val="00D25FE2"/>
    <w:rsid w:val="00D43252"/>
    <w:rsid w:val="00D51E7F"/>
    <w:rsid w:val="00D7767E"/>
    <w:rsid w:val="00D77B79"/>
    <w:rsid w:val="00D978C6"/>
    <w:rsid w:val="00DA3C1C"/>
    <w:rsid w:val="00DB6B74"/>
    <w:rsid w:val="00DC75B2"/>
    <w:rsid w:val="00DD1A91"/>
    <w:rsid w:val="00DE0130"/>
    <w:rsid w:val="00E109FB"/>
    <w:rsid w:val="00E20A6E"/>
    <w:rsid w:val="00E61D3D"/>
    <w:rsid w:val="00E63389"/>
    <w:rsid w:val="00E71BC8"/>
    <w:rsid w:val="00E7260F"/>
    <w:rsid w:val="00E73A64"/>
    <w:rsid w:val="00E96630"/>
    <w:rsid w:val="00ED32A3"/>
    <w:rsid w:val="00ED616A"/>
    <w:rsid w:val="00ED7A2A"/>
    <w:rsid w:val="00EE7B62"/>
    <w:rsid w:val="00EF1D7F"/>
    <w:rsid w:val="00F32B3C"/>
    <w:rsid w:val="00F34583"/>
    <w:rsid w:val="00F504DF"/>
    <w:rsid w:val="00FA271C"/>
    <w:rsid w:val="00FC68B7"/>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6A446CA"/>
  <w15:chartTrackingRefBased/>
  <w15:docId w15:val="{B9484D21-9004-4B8F-B0B4-70E662AD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D3D"/>
    <w:pPr>
      <w:suppressAutoHyphens/>
      <w:spacing w:line="240" w:lineRule="atLeast"/>
    </w:pPr>
  </w:style>
  <w:style w:type="paragraph" w:styleId="Heading1">
    <w:name w:val="heading 1"/>
    <w:aliases w:val="Table_G"/>
    <w:basedOn w:val="SingleTxtG"/>
    <w:next w:val="SingleTxtG"/>
    <w:qFormat/>
    <w:rsid w:val="00E61D3D"/>
    <w:pPr>
      <w:spacing w:after="0" w:line="240" w:lineRule="auto"/>
      <w:ind w:right="0"/>
      <w:jc w:val="left"/>
      <w:outlineLvl w:val="0"/>
    </w:pPr>
  </w:style>
  <w:style w:type="paragraph" w:styleId="Heading2">
    <w:name w:val="heading 2"/>
    <w:basedOn w:val="Normal"/>
    <w:next w:val="Normal"/>
    <w:qFormat/>
    <w:rsid w:val="00E61D3D"/>
    <w:pPr>
      <w:spacing w:line="240" w:lineRule="auto"/>
      <w:outlineLvl w:val="1"/>
    </w:pPr>
  </w:style>
  <w:style w:type="paragraph" w:styleId="Heading3">
    <w:name w:val="heading 3"/>
    <w:basedOn w:val="Normal"/>
    <w:next w:val="Normal"/>
    <w:qFormat/>
    <w:rsid w:val="00E61D3D"/>
    <w:pPr>
      <w:spacing w:line="240" w:lineRule="auto"/>
      <w:outlineLvl w:val="2"/>
    </w:pPr>
  </w:style>
  <w:style w:type="paragraph" w:styleId="Heading4">
    <w:name w:val="heading 4"/>
    <w:basedOn w:val="Normal"/>
    <w:next w:val="Normal"/>
    <w:qFormat/>
    <w:rsid w:val="00E61D3D"/>
    <w:pPr>
      <w:spacing w:line="240" w:lineRule="auto"/>
      <w:outlineLvl w:val="3"/>
    </w:pPr>
  </w:style>
  <w:style w:type="paragraph" w:styleId="Heading5">
    <w:name w:val="heading 5"/>
    <w:basedOn w:val="Normal"/>
    <w:next w:val="Normal"/>
    <w:qFormat/>
    <w:rsid w:val="00E61D3D"/>
    <w:pPr>
      <w:spacing w:line="240" w:lineRule="auto"/>
      <w:outlineLvl w:val="4"/>
    </w:pPr>
  </w:style>
  <w:style w:type="paragraph" w:styleId="Heading6">
    <w:name w:val="heading 6"/>
    <w:basedOn w:val="Normal"/>
    <w:next w:val="Normal"/>
    <w:qFormat/>
    <w:rsid w:val="00E61D3D"/>
    <w:pPr>
      <w:spacing w:line="240" w:lineRule="auto"/>
      <w:outlineLvl w:val="5"/>
    </w:pPr>
  </w:style>
  <w:style w:type="paragraph" w:styleId="Heading7">
    <w:name w:val="heading 7"/>
    <w:basedOn w:val="Normal"/>
    <w:next w:val="Normal"/>
    <w:qFormat/>
    <w:rsid w:val="00E61D3D"/>
    <w:pPr>
      <w:spacing w:line="240" w:lineRule="auto"/>
      <w:outlineLvl w:val="6"/>
    </w:pPr>
  </w:style>
  <w:style w:type="paragraph" w:styleId="Heading8">
    <w:name w:val="heading 8"/>
    <w:basedOn w:val="Normal"/>
    <w:next w:val="Normal"/>
    <w:qFormat/>
    <w:rsid w:val="00E61D3D"/>
    <w:pPr>
      <w:spacing w:line="240" w:lineRule="auto"/>
      <w:outlineLvl w:val="7"/>
    </w:pPr>
  </w:style>
  <w:style w:type="paragraph" w:styleId="Heading9">
    <w:name w:val="heading 9"/>
    <w:basedOn w:val="Normal"/>
    <w:next w:val="Normal"/>
    <w:qFormat/>
    <w:rsid w:val="00E61D3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E61D3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61D3D"/>
    <w:pPr>
      <w:keepNext/>
      <w:keepLines/>
      <w:tabs>
        <w:tab w:val="right" w:pos="851"/>
      </w:tabs>
      <w:spacing w:before="360" w:after="240" w:line="300" w:lineRule="exact"/>
      <w:ind w:left="1134" w:right="1134" w:hanging="1134"/>
    </w:pPr>
    <w:rPr>
      <w:b/>
      <w:sz w:val="28"/>
    </w:rPr>
  </w:style>
  <w:style w:type="paragraph" w:customStyle="1" w:styleId="SingleTxtG">
    <w:name w:val="_ Single Txt_G"/>
    <w:basedOn w:val="Normal"/>
    <w:rsid w:val="00E61D3D"/>
    <w:pPr>
      <w:spacing w:after="120"/>
      <w:ind w:left="1134" w:right="1134"/>
      <w:jc w:val="both"/>
    </w:pPr>
  </w:style>
  <w:style w:type="character" w:styleId="PageNumber">
    <w:name w:val="page number"/>
    <w:aliases w:val="7_G"/>
    <w:rsid w:val="00E61D3D"/>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E61D3D"/>
    <w:pPr>
      <w:keepNext/>
      <w:keepLines/>
      <w:spacing w:before="240" w:after="240" w:line="420" w:lineRule="exact"/>
      <w:ind w:left="1134" w:right="1134"/>
    </w:pPr>
    <w:rPr>
      <w:b/>
      <w:sz w:val="40"/>
    </w:rPr>
  </w:style>
  <w:style w:type="paragraph" w:customStyle="1" w:styleId="SLG">
    <w:name w:val="__S_L_G"/>
    <w:basedOn w:val="Normal"/>
    <w:next w:val="Normal"/>
    <w:rsid w:val="00E61D3D"/>
    <w:pPr>
      <w:keepNext/>
      <w:keepLines/>
      <w:spacing w:before="240" w:after="240" w:line="580" w:lineRule="exact"/>
      <w:ind w:left="1134" w:right="1134"/>
    </w:pPr>
    <w:rPr>
      <w:b/>
      <w:sz w:val="56"/>
    </w:rPr>
  </w:style>
  <w:style w:type="paragraph" w:customStyle="1" w:styleId="SSG">
    <w:name w:val="__S_S_G"/>
    <w:basedOn w:val="Normal"/>
    <w:next w:val="Normal"/>
    <w:rsid w:val="00E61D3D"/>
    <w:pPr>
      <w:keepNext/>
      <w:keepLines/>
      <w:spacing w:before="240" w:after="240" w:line="300" w:lineRule="exact"/>
      <w:ind w:left="1134" w:right="1134"/>
    </w:pPr>
    <w:rPr>
      <w:b/>
      <w:sz w:val="28"/>
    </w:rPr>
  </w:style>
  <w:style w:type="character" w:styleId="EndnoteReference">
    <w:name w:val="endnote reference"/>
    <w:aliases w:val="1_G"/>
    <w:rsid w:val="00E61D3D"/>
    <w:rPr>
      <w:rFonts w:ascii="Times New Roman" w:hAnsi="Times New Roman"/>
      <w:sz w:val="18"/>
      <w:vertAlign w:val="superscript"/>
    </w:rPr>
  </w:style>
  <w:style w:type="character" w:styleId="FootnoteReference">
    <w:name w:val="footnote reference"/>
    <w:aliases w:val="4_G"/>
    <w:rsid w:val="00E61D3D"/>
    <w:rPr>
      <w:rFonts w:ascii="Times New Roman" w:hAnsi="Times New Roman"/>
      <w:sz w:val="18"/>
      <w:vertAlign w:val="superscript"/>
    </w:rPr>
  </w:style>
  <w:style w:type="paragraph" w:styleId="FootnoteText">
    <w:name w:val="footnote text"/>
    <w:aliases w:val="5_G"/>
    <w:basedOn w:val="Normal"/>
    <w:rsid w:val="00E61D3D"/>
    <w:pPr>
      <w:tabs>
        <w:tab w:val="right" w:pos="1021"/>
      </w:tabs>
      <w:spacing w:line="220" w:lineRule="exact"/>
      <w:ind w:left="1134" w:right="1134" w:hanging="1134"/>
    </w:pPr>
    <w:rPr>
      <w:sz w:val="18"/>
    </w:rPr>
  </w:style>
  <w:style w:type="paragraph" w:customStyle="1" w:styleId="XLargeG">
    <w:name w:val="__XLarge_G"/>
    <w:basedOn w:val="Normal"/>
    <w:next w:val="Normal"/>
    <w:rsid w:val="00E61D3D"/>
    <w:pPr>
      <w:keepNext/>
      <w:keepLines/>
      <w:spacing w:before="240" w:after="240" w:line="420" w:lineRule="exact"/>
      <w:ind w:left="1134" w:right="1134"/>
    </w:pPr>
    <w:rPr>
      <w:b/>
      <w:sz w:val="40"/>
    </w:rPr>
  </w:style>
  <w:style w:type="paragraph" w:customStyle="1" w:styleId="Bullet1G">
    <w:name w:val="_Bullet 1_G"/>
    <w:basedOn w:val="Normal"/>
    <w:rsid w:val="00E61D3D"/>
    <w:pPr>
      <w:numPr>
        <w:numId w:val="14"/>
      </w:numPr>
      <w:spacing w:after="120"/>
      <w:ind w:right="1134"/>
      <w:jc w:val="both"/>
    </w:pPr>
  </w:style>
  <w:style w:type="paragraph" w:styleId="EndnoteText">
    <w:name w:val="endnote text"/>
    <w:aliases w:val="2_G"/>
    <w:basedOn w:val="FootnoteText"/>
    <w:rsid w:val="00E61D3D"/>
  </w:style>
  <w:style w:type="character" w:styleId="CommentReference">
    <w:name w:val="annotation reference"/>
    <w:semiHidden/>
    <w:rPr>
      <w:sz w:val="6"/>
    </w:rPr>
  </w:style>
  <w:style w:type="paragraph" w:styleId="CommentText">
    <w:name w:val="annotation text"/>
    <w:basedOn w:val="Normal"/>
    <w:semiHidden/>
  </w:style>
  <w:style w:type="character" w:styleId="LineNumber">
    <w:name w:val="line number"/>
    <w:semiHidden/>
    <w:rPr>
      <w:sz w:val="14"/>
    </w:rPr>
  </w:style>
  <w:style w:type="paragraph" w:customStyle="1" w:styleId="Bullet2G">
    <w:name w:val="_Bullet 2_G"/>
    <w:basedOn w:val="Normal"/>
    <w:rsid w:val="00E61D3D"/>
    <w:pPr>
      <w:numPr>
        <w:numId w:val="15"/>
      </w:numPr>
      <w:spacing w:after="120"/>
      <w:ind w:right="1134"/>
      <w:jc w:val="both"/>
    </w:pPr>
  </w:style>
  <w:style w:type="paragraph" w:customStyle="1" w:styleId="H1G">
    <w:name w:val="_ H_1_G"/>
    <w:basedOn w:val="Normal"/>
    <w:next w:val="Normal"/>
    <w:rsid w:val="00E61D3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61D3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61D3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61D3D"/>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E61D3D"/>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E61D3D"/>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61D3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E61D3D"/>
    <w:pPr>
      <w:spacing w:line="240" w:lineRule="auto"/>
    </w:pPr>
    <w:rPr>
      <w:sz w:val="16"/>
    </w:rPr>
  </w:style>
  <w:style w:type="paragraph" w:styleId="Header">
    <w:name w:val="header"/>
    <w:aliases w:val="6_G"/>
    <w:basedOn w:val="Normal"/>
    <w:rsid w:val="00E61D3D"/>
    <w:pPr>
      <w:pBdr>
        <w:bottom w:val="single" w:sz="4" w:space="4" w:color="auto"/>
      </w:pBdr>
      <w:spacing w:line="240" w:lineRule="auto"/>
    </w:pPr>
    <w:rPr>
      <w:b/>
      <w:sz w:val="18"/>
    </w:rPr>
  </w:style>
  <w:style w:type="paragraph" w:customStyle="1" w:styleId="H1">
    <w:name w:val="_ H_1"/>
    <w:basedOn w:val="Normal"/>
    <w:next w:val="SingleTxt"/>
    <w:rsid w:val="00D22FD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pacing w:val="4"/>
      <w:w w:val="103"/>
      <w:kern w:val="14"/>
      <w:sz w:val="24"/>
    </w:rPr>
  </w:style>
  <w:style w:type="paragraph" w:customStyle="1" w:styleId="H23">
    <w:name w:val="_ H_2/3"/>
    <w:basedOn w:val="H1"/>
    <w:next w:val="SingleTxt"/>
    <w:rsid w:val="00D22FD0"/>
    <w:pPr>
      <w:spacing w:line="240" w:lineRule="exact"/>
      <w:outlineLvl w:val="1"/>
    </w:pPr>
    <w:rPr>
      <w:spacing w:val="2"/>
      <w:sz w:val="20"/>
    </w:rPr>
  </w:style>
  <w:style w:type="paragraph" w:customStyle="1" w:styleId="SingleTxt">
    <w:name w:val="__Single Txt"/>
    <w:basedOn w:val="Normal"/>
    <w:rsid w:val="00D22FD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styleId="BalloonText">
    <w:name w:val="Balloon Text"/>
    <w:basedOn w:val="Normal"/>
    <w:link w:val="BalloonTextChar"/>
    <w:rsid w:val="00DB6B74"/>
    <w:pPr>
      <w:spacing w:line="240" w:lineRule="auto"/>
    </w:pPr>
    <w:rPr>
      <w:rFonts w:ascii="Tahoma" w:hAnsi="Tahoma" w:cs="Tahoma"/>
      <w:sz w:val="16"/>
      <w:szCs w:val="16"/>
    </w:rPr>
  </w:style>
  <w:style w:type="character" w:customStyle="1" w:styleId="BalloonTextChar">
    <w:name w:val="Balloon Text Char"/>
    <w:link w:val="BalloonText"/>
    <w:rsid w:val="00DB6B7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EDAW_E.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8AF28EAB6004E88A60F194B4BE5E0" ma:contentTypeVersion="0" ma:contentTypeDescription="Create a new document." ma:contentTypeScope="" ma:versionID="70965e5ac96d95f82b69b6ac0ca273b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0244B-640C-495C-AB32-71E224EFC75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D29D35B-76AA-4340-9DB7-FBD712E9641C}">
  <ds:schemaRefs>
    <ds:schemaRef ds:uri="http://schemas.microsoft.com/sharepoint/v3/contenttype/forms"/>
  </ds:schemaRefs>
</ds:datastoreItem>
</file>

<file path=customXml/itemProps3.xml><?xml version="1.0" encoding="utf-8"?>
<ds:datastoreItem xmlns:ds="http://schemas.openxmlformats.org/officeDocument/2006/customXml" ds:itemID="{86F4002A-8ABE-45C2-B893-5E424B441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CEDAW_E.dotm</Template>
  <TotalTime>0</TotalTime>
  <Pages>24</Pages>
  <Words>12769</Words>
  <Characters>70234</Characters>
  <Application>Microsoft Office Word</Application>
  <DocSecurity>0</DocSecurity>
  <Lines>585</Lines>
  <Paragraphs>165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United Nations</vt:lpstr>
      <vt:lpstr>United Nations</vt:lpstr>
    </vt:vector>
  </TitlesOfParts>
  <Company>CSD</Company>
  <LinksUpToDate>false</LinksUpToDate>
  <CharactersWithSpaces>82838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Irene del Pilar Sandoval</dc:creator>
  <cp:keywords/>
  <cp:lastModifiedBy>Loes Hartman</cp:lastModifiedBy>
  <cp:revision>3</cp:revision>
  <cp:lastPrinted>2014-11-04T14:49:00Z</cp:lastPrinted>
  <dcterms:created xsi:type="dcterms:W3CDTF">2019-05-10T16:09:00Z</dcterms:created>
  <dcterms:modified xsi:type="dcterms:W3CDTF">2019-10-31T23:25:00Z</dcterms:modified>
</cp:coreProperties>
</file>