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417398" w14:paraId="7A09CFB3" w14:textId="77777777" w:rsidTr="005A0FD9">
        <w:trPr>
          <w:trHeight w:val="851"/>
        </w:trPr>
        <w:tc>
          <w:tcPr>
            <w:tcW w:w="1259" w:type="dxa"/>
            <w:tcBorders>
              <w:top w:val="nil"/>
              <w:left w:val="nil"/>
              <w:bottom w:val="single" w:sz="4" w:space="0" w:color="auto"/>
              <w:right w:val="nil"/>
            </w:tcBorders>
          </w:tcPr>
          <w:p w14:paraId="6BB73155" w14:textId="77777777" w:rsidR="00446DE4" w:rsidRPr="00417398" w:rsidRDefault="00446DE4" w:rsidP="00473FF8">
            <w:pPr>
              <w:spacing w:after="80" w:line="340" w:lineRule="exact"/>
            </w:pPr>
          </w:p>
        </w:tc>
        <w:tc>
          <w:tcPr>
            <w:tcW w:w="2236" w:type="dxa"/>
            <w:tcBorders>
              <w:top w:val="nil"/>
              <w:left w:val="nil"/>
              <w:bottom w:val="single" w:sz="4" w:space="0" w:color="auto"/>
              <w:right w:val="nil"/>
            </w:tcBorders>
            <w:vAlign w:val="bottom"/>
          </w:tcPr>
          <w:p w14:paraId="6DEC8BF4" w14:textId="77777777" w:rsidR="00446DE4" w:rsidRPr="00417398" w:rsidRDefault="00B3317B" w:rsidP="00473FF8">
            <w:pPr>
              <w:spacing w:after="80" w:line="340" w:lineRule="exact"/>
              <w:rPr>
                <w:sz w:val="28"/>
                <w:szCs w:val="28"/>
              </w:rPr>
            </w:pPr>
            <w:r>
              <w:rPr>
                <w:sz w:val="28"/>
                <w:szCs w:val="28"/>
              </w:rPr>
              <w:t>Verenigde Naties</w:t>
            </w:r>
          </w:p>
        </w:tc>
        <w:tc>
          <w:tcPr>
            <w:tcW w:w="6144" w:type="dxa"/>
            <w:gridSpan w:val="2"/>
            <w:tcBorders>
              <w:top w:val="nil"/>
              <w:left w:val="nil"/>
              <w:bottom w:val="single" w:sz="4" w:space="0" w:color="auto"/>
              <w:right w:val="nil"/>
            </w:tcBorders>
            <w:vAlign w:val="bottom"/>
          </w:tcPr>
          <w:p w14:paraId="26C1F612" w14:textId="77777777" w:rsidR="00446DE4" w:rsidRPr="00417398" w:rsidRDefault="005A0FD9" w:rsidP="005A0FD9">
            <w:pPr>
              <w:jc w:val="right"/>
            </w:pPr>
            <w:r>
              <w:rPr>
                <w:sz w:val="40"/>
              </w:rPr>
              <w:t>CRC</w:t>
            </w:r>
            <w:r>
              <w:t>/C/GC/13</w:t>
            </w:r>
          </w:p>
        </w:tc>
      </w:tr>
      <w:tr w:rsidR="003107FA" w:rsidRPr="00417398" w14:paraId="5494638D" w14:textId="77777777" w:rsidTr="005A0FD9">
        <w:trPr>
          <w:trHeight w:val="2835"/>
        </w:trPr>
        <w:tc>
          <w:tcPr>
            <w:tcW w:w="1259" w:type="dxa"/>
            <w:tcBorders>
              <w:top w:val="single" w:sz="4" w:space="0" w:color="auto"/>
              <w:left w:val="nil"/>
              <w:bottom w:val="single" w:sz="12" w:space="0" w:color="auto"/>
              <w:right w:val="nil"/>
            </w:tcBorders>
          </w:tcPr>
          <w:p w14:paraId="65720AF3" w14:textId="725D5BAF" w:rsidR="003107FA" w:rsidRPr="00417398" w:rsidRDefault="00EA310B" w:rsidP="00942BE3">
            <w:pPr>
              <w:spacing w:before="120"/>
              <w:jc w:val="center"/>
            </w:pPr>
            <w:r>
              <w:rPr>
                <w:noProof/>
              </w:rPr>
              <w:drawing>
                <wp:inline distT="0" distB="0" distL="0" distR="0" wp14:anchorId="2E97D2A0" wp14:editId="4A246C58">
                  <wp:extent cx="714375" cy="590550"/>
                  <wp:effectExtent l="0" t="0" r="0" b="0"/>
                  <wp:docPr id="1" name="Afbeelding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631AEF1B" w14:textId="46E7E128" w:rsidR="003107FA" w:rsidRPr="00417398" w:rsidRDefault="001E3807" w:rsidP="005C50EF">
            <w:pPr>
              <w:spacing w:before="120" w:line="420" w:lineRule="exact"/>
              <w:rPr>
                <w:b/>
                <w:sz w:val="40"/>
                <w:szCs w:val="40"/>
              </w:rPr>
            </w:pPr>
            <w:r>
              <w:rPr>
                <w:b/>
                <w:sz w:val="40"/>
                <w:szCs w:val="40"/>
              </w:rPr>
              <w:t>Internationaal Verdrag inzake de Rechten van het Kind</w:t>
            </w:r>
          </w:p>
        </w:tc>
        <w:tc>
          <w:tcPr>
            <w:tcW w:w="2930" w:type="dxa"/>
            <w:tcBorders>
              <w:top w:val="single" w:sz="4" w:space="0" w:color="auto"/>
              <w:left w:val="nil"/>
              <w:bottom w:val="single" w:sz="12" w:space="0" w:color="auto"/>
              <w:right w:val="nil"/>
            </w:tcBorders>
          </w:tcPr>
          <w:p w14:paraId="1B53CF0E" w14:textId="77777777" w:rsidR="005A0FD9" w:rsidRPr="00417398" w:rsidRDefault="005A0FD9" w:rsidP="005A0FD9">
            <w:pPr>
              <w:spacing w:before="240" w:line="240" w:lineRule="exact"/>
            </w:pPr>
            <w:r>
              <w:t>Verspr.: Algemeen</w:t>
            </w:r>
          </w:p>
          <w:p w14:paraId="793B034E" w14:textId="77777777" w:rsidR="005A0FD9" w:rsidRPr="00417398" w:rsidRDefault="002E4CAF" w:rsidP="005A0FD9">
            <w:pPr>
              <w:spacing w:line="240" w:lineRule="exact"/>
            </w:pPr>
            <w:r>
              <w:t>18 april 2011</w:t>
            </w:r>
          </w:p>
          <w:p w14:paraId="67FAC284" w14:textId="77777777" w:rsidR="005A0FD9" w:rsidRPr="00417398" w:rsidRDefault="005A0FD9" w:rsidP="005A0FD9">
            <w:pPr>
              <w:spacing w:line="240" w:lineRule="exact"/>
            </w:pPr>
          </w:p>
          <w:p w14:paraId="1A053379" w14:textId="77777777" w:rsidR="003107FA" w:rsidRPr="00417398" w:rsidRDefault="005A0FD9" w:rsidP="005A0FD9">
            <w:pPr>
              <w:spacing w:line="240" w:lineRule="exact"/>
            </w:pPr>
            <w:r>
              <w:t>Origineel: Engels</w:t>
            </w:r>
          </w:p>
        </w:tc>
      </w:tr>
    </w:tbl>
    <w:p w14:paraId="5BBBF3B5" w14:textId="77777777" w:rsidR="00B1218D" w:rsidRPr="00417398" w:rsidRDefault="005A0FD9" w:rsidP="00B1218D">
      <w:pPr>
        <w:rPr>
          <w:b/>
        </w:rPr>
      </w:pPr>
      <w:r>
        <w:rPr>
          <w:b/>
          <w:sz w:val="24"/>
          <w:szCs w:val="24"/>
        </w:rPr>
        <w:t>Comité voor de Rechten van het Kind</w:t>
      </w:r>
    </w:p>
    <w:p w14:paraId="54815EA3" w14:textId="77777777" w:rsidR="005A0FD9" w:rsidRPr="00417398" w:rsidRDefault="005A0FD9" w:rsidP="005A0FD9">
      <w:pPr>
        <w:rPr>
          <w:rFonts w:eastAsia="SimSun"/>
        </w:rPr>
      </w:pPr>
    </w:p>
    <w:p w14:paraId="02188509" w14:textId="77777777" w:rsidR="005A0FD9" w:rsidRPr="00417398" w:rsidRDefault="008A442C" w:rsidP="008A442C">
      <w:pPr>
        <w:pStyle w:val="HChG"/>
        <w:rPr>
          <w:rFonts w:eastAsia="SimSun"/>
        </w:rPr>
      </w:pPr>
      <w:bookmarkStart w:id="0" w:name="_Toc285723364"/>
      <w:bookmarkStart w:id="1" w:name="_Toc285724519"/>
      <w:bookmarkStart w:id="2" w:name="_Toc285724579"/>
      <w:bookmarkStart w:id="3" w:name="_Toc285724726"/>
      <w:bookmarkStart w:id="4" w:name="_Toc285724983"/>
      <w:r>
        <w:tab/>
      </w:r>
      <w:r>
        <w:tab/>
        <w:t>General Comment nr. 13 (2011)</w:t>
      </w:r>
      <w:bookmarkEnd w:id="0"/>
      <w:bookmarkEnd w:id="1"/>
      <w:bookmarkEnd w:id="2"/>
      <w:bookmarkEnd w:id="3"/>
      <w:bookmarkEnd w:id="4"/>
    </w:p>
    <w:p w14:paraId="01B45A61" w14:textId="77777777" w:rsidR="00B1218D" w:rsidRPr="00417398" w:rsidRDefault="00B1218D" w:rsidP="00397B0F">
      <w:pPr>
        <w:pStyle w:val="HChG"/>
      </w:pPr>
      <w:r>
        <w:tab/>
      </w:r>
      <w:r>
        <w:tab/>
      </w:r>
      <w:bookmarkStart w:id="5" w:name="_Toc285723365"/>
      <w:bookmarkStart w:id="6" w:name="_Toc285724520"/>
      <w:bookmarkStart w:id="7" w:name="_Toc285724580"/>
      <w:bookmarkStart w:id="8" w:name="_Toc285724727"/>
      <w:bookmarkStart w:id="9" w:name="_Toc285724984"/>
      <w:r>
        <w:t>De rechten van het kind op bevrijding van alle vormen van geweld</w:t>
      </w:r>
      <w:bookmarkEnd w:id="5"/>
      <w:bookmarkEnd w:id="6"/>
      <w:bookmarkEnd w:id="7"/>
      <w:bookmarkEnd w:id="8"/>
      <w:bookmarkEnd w:id="9"/>
    </w:p>
    <w:p w14:paraId="7EFBDFE1" w14:textId="77777777" w:rsidR="001678B4" w:rsidRPr="009A728C" w:rsidRDefault="00B1218D" w:rsidP="001678B4">
      <w:pPr>
        <w:spacing w:after="120"/>
        <w:rPr>
          <w:sz w:val="28"/>
        </w:rPr>
      </w:pPr>
      <w:r>
        <w:br w:type="page"/>
      </w:r>
      <w:r>
        <w:rPr>
          <w:sz w:val="28"/>
        </w:rPr>
        <w:lastRenderedPageBreak/>
        <w:t>Inhoud</w:t>
      </w:r>
    </w:p>
    <w:p w14:paraId="1FC8A4C2" w14:textId="77777777" w:rsidR="00F960C7" w:rsidRPr="0097679F" w:rsidRDefault="00F960C7" w:rsidP="00F960C7">
      <w:pPr>
        <w:tabs>
          <w:tab w:val="right" w:pos="8929"/>
          <w:tab w:val="right" w:pos="9638"/>
        </w:tabs>
        <w:spacing w:after="120"/>
        <w:ind w:left="283"/>
      </w:pPr>
      <w:r>
        <w:rPr>
          <w:i/>
          <w:sz w:val="18"/>
        </w:rPr>
        <w:tab/>
        <w:t>Paragraaf</w:t>
      </w:r>
      <w:r>
        <w:rPr>
          <w:i/>
          <w:sz w:val="18"/>
        </w:rPr>
        <w:tab/>
        <w:t>Pagina</w:t>
      </w:r>
    </w:p>
    <w:p w14:paraId="6F657992" w14:textId="77777777" w:rsidR="00F960C7" w:rsidRDefault="00F960C7" w:rsidP="00F960C7">
      <w:pPr>
        <w:tabs>
          <w:tab w:val="right" w:pos="850"/>
          <w:tab w:val="left" w:pos="1134"/>
          <w:tab w:val="left" w:pos="1559"/>
          <w:tab w:val="left" w:pos="1984"/>
          <w:tab w:val="left" w:leader="dot" w:pos="7654"/>
          <w:tab w:val="right" w:pos="8929"/>
          <w:tab w:val="right" w:pos="9638"/>
        </w:tabs>
        <w:spacing w:after="120"/>
      </w:pPr>
      <w:r>
        <w:tab/>
        <w:t>I.</w:t>
      </w:r>
      <w:r>
        <w:tab/>
        <w:t>Inleiding</w:t>
      </w:r>
      <w:r>
        <w:tab/>
      </w:r>
      <w:r>
        <w:tab/>
        <w:t>1-10</w:t>
      </w:r>
      <w:r>
        <w:tab/>
        <w:t>3</w:t>
      </w:r>
    </w:p>
    <w:p w14:paraId="22F5C0BD" w14:textId="77777777" w:rsidR="00160941" w:rsidRPr="009A728C" w:rsidRDefault="00F960C7" w:rsidP="00F960C7">
      <w:pPr>
        <w:tabs>
          <w:tab w:val="right" w:pos="850"/>
          <w:tab w:val="left" w:pos="1134"/>
          <w:tab w:val="left" w:pos="1559"/>
          <w:tab w:val="left" w:pos="1984"/>
          <w:tab w:val="left" w:leader="dot" w:pos="7654"/>
          <w:tab w:val="right" w:pos="8929"/>
          <w:tab w:val="right" w:pos="9638"/>
        </w:tabs>
        <w:spacing w:after="120"/>
        <w:rPr>
          <w:bCs/>
        </w:rPr>
      </w:pPr>
      <w:r>
        <w:tab/>
        <w:t>II.</w:t>
      </w:r>
      <w:r>
        <w:tab/>
        <w:t>Doelstellingen</w:t>
      </w:r>
      <w:r>
        <w:tab/>
      </w:r>
      <w:r>
        <w:tab/>
        <w:t>11</w:t>
      </w:r>
      <w:r>
        <w:tab/>
        <w:t>6</w:t>
      </w:r>
    </w:p>
    <w:p w14:paraId="48EFDF50" w14:textId="77777777" w:rsidR="00160941" w:rsidRPr="009A728C" w:rsidRDefault="00F960C7" w:rsidP="00F960C7">
      <w:pPr>
        <w:tabs>
          <w:tab w:val="right" w:pos="850"/>
          <w:tab w:val="left" w:pos="1134"/>
          <w:tab w:val="left" w:pos="1559"/>
          <w:tab w:val="left" w:pos="1984"/>
          <w:tab w:val="left" w:leader="dot" w:pos="7654"/>
          <w:tab w:val="right" w:pos="8929"/>
          <w:tab w:val="right" w:pos="9638"/>
        </w:tabs>
        <w:spacing w:after="120"/>
        <w:rPr>
          <w:bCs/>
        </w:rPr>
      </w:pPr>
      <w:r>
        <w:tab/>
        <w:t>III.</w:t>
      </w:r>
      <w:r>
        <w:tab/>
        <w:t>Geweld in de levens van kinderen</w:t>
      </w:r>
      <w:r>
        <w:tab/>
      </w:r>
      <w:r>
        <w:tab/>
        <w:t>12-16</w:t>
      </w:r>
      <w:r>
        <w:tab/>
        <w:t>6</w:t>
      </w:r>
    </w:p>
    <w:p w14:paraId="3556D2EF" w14:textId="77777777" w:rsidR="00160941" w:rsidRPr="009A728C" w:rsidRDefault="00F960C7" w:rsidP="00F960C7">
      <w:pPr>
        <w:tabs>
          <w:tab w:val="right" w:pos="850"/>
          <w:tab w:val="left" w:pos="1134"/>
          <w:tab w:val="left" w:pos="1559"/>
          <w:tab w:val="left" w:pos="1984"/>
          <w:tab w:val="left" w:leader="dot" w:pos="7654"/>
          <w:tab w:val="right" w:pos="8929"/>
          <w:tab w:val="right" w:pos="9638"/>
        </w:tabs>
        <w:spacing w:after="120"/>
        <w:rPr>
          <w:bCs/>
        </w:rPr>
      </w:pPr>
      <w:r>
        <w:tab/>
        <w:t>IV.</w:t>
      </w:r>
      <w:r>
        <w:tab/>
        <w:t>Juridische analyse van artikel 19</w:t>
      </w:r>
      <w:r>
        <w:tab/>
      </w:r>
      <w:r>
        <w:tab/>
        <w:t>17-</w:t>
      </w:r>
      <w:r>
        <w:tab/>
        <w:t>8</w:t>
      </w:r>
    </w:p>
    <w:p w14:paraId="5EE6F09E" w14:textId="77777777" w:rsidR="00160941" w:rsidRPr="00F960C7" w:rsidRDefault="00F960C7" w:rsidP="00F960C7">
      <w:pPr>
        <w:tabs>
          <w:tab w:val="right" w:pos="850"/>
          <w:tab w:val="left" w:pos="1134"/>
          <w:tab w:val="left" w:pos="1559"/>
          <w:tab w:val="left" w:pos="1984"/>
          <w:tab w:val="left" w:leader="dot" w:pos="7654"/>
          <w:tab w:val="right" w:pos="8929"/>
          <w:tab w:val="right" w:pos="9638"/>
        </w:tabs>
        <w:spacing w:after="120"/>
        <w:rPr>
          <w:bCs/>
        </w:rPr>
      </w:pPr>
      <w:r>
        <w:tab/>
      </w:r>
      <w:r>
        <w:tab/>
        <w:t>A.</w:t>
      </w:r>
      <w:r>
        <w:tab/>
        <w:t>Artikel 19 lid 1</w:t>
      </w:r>
      <w:r>
        <w:tab/>
      </w:r>
      <w:r>
        <w:tab/>
        <w:t>17-44</w:t>
      </w:r>
      <w:r>
        <w:tab/>
        <w:t>8</w:t>
      </w:r>
    </w:p>
    <w:p w14:paraId="5CA9B669" w14:textId="77777777" w:rsidR="00160941" w:rsidRPr="00F960C7" w:rsidRDefault="00F960C7" w:rsidP="00F960C7">
      <w:pPr>
        <w:tabs>
          <w:tab w:val="right" w:pos="850"/>
          <w:tab w:val="left" w:pos="1134"/>
          <w:tab w:val="left" w:pos="1559"/>
          <w:tab w:val="left" w:pos="1984"/>
          <w:tab w:val="left" w:leader="dot" w:pos="7654"/>
          <w:tab w:val="right" w:pos="8929"/>
          <w:tab w:val="right" w:pos="9638"/>
        </w:tabs>
        <w:spacing w:after="120"/>
        <w:rPr>
          <w:bCs/>
        </w:rPr>
      </w:pPr>
      <w:r>
        <w:tab/>
      </w:r>
      <w:r>
        <w:tab/>
        <w:t>B.</w:t>
      </w:r>
      <w:r>
        <w:tab/>
        <w:t>Artikel 19 lid 2</w:t>
      </w:r>
      <w:r>
        <w:tab/>
      </w:r>
      <w:r>
        <w:tab/>
        <w:t>45-58</w:t>
      </w:r>
      <w:r>
        <w:tab/>
        <w:t>18</w:t>
      </w:r>
    </w:p>
    <w:p w14:paraId="75C7D240" w14:textId="77777777" w:rsidR="00160941" w:rsidRPr="009A728C" w:rsidRDefault="00F960C7" w:rsidP="00F960C7">
      <w:pPr>
        <w:tabs>
          <w:tab w:val="right" w:pos="850"/>
          <w:tab w:val="left" w:pos="1134"/>
          <w:tab w:val="left" w:pos="1559"/>
          <w:tab w:val="left" w:pos="1984"/>
          <w:tab w:val="left" w:leader="dot" w:pos="7654"/>
          <w:tab w:val="right" w:pos="8929"/>
          <w:tab w:val="right" w:pos="9638"/>
        </w:tabs>
        <w:spacing w:after="120"/>
        <w:rPr>
          <w:bCs/>
        </w:rPr>
      </w:pPr>
      <w:r>
        <w:tab/>
        <w:t>V.</w:t>
      </w:r>
      <w:r>
        <w:tab/>
        <w:t>Interpretatie van artikel 19 in de bredere context van het Verdrag</w:t>
      </w:r>
      <w:r>
        <w:tab/>
      </w:r>
      <w:r>
        <w:tab/>
        <w:t>59-67</w:t>
      </w:r>
      <w:r>
        <w:tab/>
        <w:t>23</w:t>
      </w:r>
    </w:p>
    <w:p w14:paraId="0DD9E7F9" w14:textId="77777777" w:rsidR="00160941" w:rsidRPr="009A728C" w:rsidRDefault="00F960C7" w:rsidP="00F960C7">
      <w:pPr>
        <w:tabs>
          <w:tab w:val="right" w:pos="850"/>
          <w:tab w:val="left" w:pos="1134"/>
          <w:tab w:val="left" w:pos="1559"/>
          <w:tab w:val="left" w:pos="1984"/>
          <w:tab w:val="left" w:leader="dot" w:pos="7654"/>
          <w:tab w:val="right" w:pos="8929"/>
          <w:tab w:val="right" w:pos="9638"/>
        </w:tabs>
        <w:spacing w:after="120"/>
        <w:rPr>
          <w:bCs/>
        </w:rPr>
      </w:pPr>
      <w:r>
        <w:tab/>
        <w:t>VI.</w:t>
      </w:r>
      <w:r>
        <w:tab/>
        <w:t>Nationaal coördinatiekader inzake geweld tegen kinderen</w:t>
      </w:r>
      <w:r>
        <w:tab/>
      </w:r>
      <w:r>
        <w:tab/>
        <w:t>68-72</w:t>
      </w:r>
      <w:r>
        <w:tab/>
        <w:t>25</w:t>
      </w:r>
    </w:p>
    <w:p w14:paraId="7BA505B5" w14:textId="77777777" w:rsidR="00160941" w:rsidRPr="009A728C" w:rsidRDefault="00F960C7" w:rsidP="00F960C7">
      <w:pPr>
        <w:tabs>
          <w:tab w:val="right" w:pos="850"/>
          <w:tab w:val="left" w:pos="1134"/>
          <w:tab w:val="left" w:pos="1559"/>
          <w:tab w:val="left" w:pos="1984"/>
          <w:tab w:val="left" w:leader="dot" w:pos="7654"/>
          <w:tab w:val="right" w:pos="8929"/>
          <w:tab w:val="right" w:pos="9638"/>
        </w:tabs>
        <w:spacing w:after="120"/>
        <w:rPr>
          <w:bCs/>
        </w:rPr>
      </w:pPr>
      <w:r>
        <w:tab/>
        <w:t>VII.</w:t>
      </w:r>
      <w:r>
        <w:tab/>
        <w:t>Middelen voor de invoering van en de noodzaak voor internationale samenwerking</w:t>
      </w:r>
      <w:r>
        <w:tab/>
      </w:r>
      <w:r>
        <w:tab/>
        <w:t>73-76</w:t>
      </w:r>
      <w:r>
        <w:tab/>
        <w:t>28</w:t>
      </w:r>
    </w:p>
    <w:p w14:paraId="04D8F12F" w14:textId="77777777" w:rsidR="00412233" w:rsidRPr="00417398" w:rsidRDefault="001678B4" w:rsidP="009737E7">
      <w:pPr>
        <w:pStyle w:val="HChG"/>
        <w:rPr>
          <w:noProof/>
          <w:color w:val="000000"/>
        </w:rPr>
      </w:pPr>
      <w:r>
        <w:br w:type="page"/>
      </w:r>
      <w:bookmarkStart w:id="10" w:name="_Toc285724985"/>
      <w:r>
        <w:lastRenderedPageBreak/>
        <w:tab/>
        <w:t>I.</w:t>
      </w:r>
      <w:r>
        <w:tab/>
        <w:t>Inleiding</w:t>
      </w:r>
    </w:p>
    <w:bookmarkEnd w:id="10"/>
    <w:p w14:paraId="11A95871" w14:textId="77777777" w:rsidR="00412233" w:rsidRPr="00417398" w:rsidRDefault="00412233" w:rsidP="00290424">
      <w:pPr>
        <w:pStyle w:val="SingleTxtG"/>
        <w:numPr>
          <w:ilvl w:val="0"/>
          <w:numId w:val="16"/>
        </w:numPr>
        <w:rPr>
          <w:noProof/>
        </w:rPr>
      </w:pPr>
      <w:r>
        <w:t>Artikel 19 luidt als volgt:</w:t>
      </w:r>
    </w:p>
    <w:p w14:paraId="28B29BA7" w14:textId="77777777" w:rsidR="005A0FD9" w:rsidRPr="00417398" w:rsidRDefault="00412233" w:rsidP="00412233">
      <w:pPr>
        <w:pStyle w:val="SingleTxtG"/>
        <w:ind w:left="1701"/>
        <w:rPr>
          <w:noProof/>
        </w:rPr>
      </w:pPr>
      <w:r>
        <w:t xml:space="preserve">“1. Staten die partij zijn bij het Verdrag nemen alle benodigde wetgevende, administratieve, sociale en onderwijsmaatregelen om het kind te beschermen tegen alle vormen van lichamelijk of geestelijk geweld, letsel of misbruik, verwaarlozing of nalatige behandeling, mishandeling of uitbuiting, met inbegrip van seksueel misbruik, zolang het kind onder de hoede is van de ouder(s), wettelijke voogd(en) of een andere persoon die de zorg voor het kind heeft. </w:t>
      </w:r>
    </w:p>
    <w:p w14:paraId="670A1CC6" w14:textId="77777777" w:rsidR="005A0FD9" w:rsidRPr="00417398" w:rsidRDefault="00412233" w:rsidP="007F75EE">
      <w:pPr>
        <w:pStyle w:val="SingleTxtG"/>
        <w:ind w:left="1701"/>
        <w:rPr>
          <w:noProof/>
        </w:rPr>
      </w:pPr>
      <w:r>
        <w:t xml:space="preserve">“2. Dergelijke maatregelen ter bescherming dienen, indien van toepassing, doeltreffende procedures te omvatten voor de invoering van sociale programma’s om het kind en degenen die de zorg voor het kind hebben de noodzakelijke ondersteuning te bieden, evenals procedures voor andere vormen van preventie en signalering, melding, verwijzing, onderzoek, behandeling en follow-up van gevallen van kindermishandeling zoals hierboven beschreven, en, indien van toepassing, voor gerechtelijk optreden.” </w:t>
      </w:r>
    </w:p>
    <w:p w14:paraId="09FEC03C" w14:textId="77777777" w:rsidR="005A0FD9" w:rsidRPr="00417398" w:rsidRDefault="005A0FD9" w:rsidP="003F7BB7">
      <w:pPr>
        <w:pStyle w:val="SingleTxtG"/>
        <w:numPr>
          <w:ilvl w:val="0"/>
          <w:numId w:val="16"/>
        </w:numPr>
        <w:rPr>
          <w:noProof/>
        </w:rPr>
      </w:pPr>
      <w:r>
        <w:rPr>
          <w:rStyle w:val="H23GChar"/>
        </w:rPr>
        <w:t>De beweegredenen voor dit General Comment</w:t>
      </w:r>
      <w:r>
        <w:t xml:space="preserve"> Het Comité inzake de Rechten van het Kind (hierna: het Comité) brengt dit General Comment op artikel 19 van het Verdrag inzake de Rechten van het Kind (hierna: het Verdrag) uit omdat de omvang en intensiteit van het geweld dat wordt aangewend tegen kinderen zorgwekkend is. Maatregelen om een einde te maken aan het geweld moeten massaal worden versterkt en uitgebreid om daadwerkelijk een einde te maken aan deze praktijken die de ontwikkeling van kinderen en de mogelijke niet-gewelddadige oplossingen van samenlevingen voor het oplossen van conflicten in gevaar brengen.</w:t>
      </w:r>
    </w:p>
    <w:p w14:paraId="0D216B48" w14:textId="77777777" w:rsidR="005A0FD9" w:rsidRPr="00417398" w:rsidRDefault="005A0FD9" w:rsidP="006D422E">
      <w:pPr>
        <w:pStyle w:val="SingleTxtG"/>
        <w:numPr>
          <w:ilvl w:val="0"/>
          <w:numId w:val="16"/>
        </w:numPr>
        <w:rPr>
          <w:rFonts w:eastAsia="AGaramond-Regular"/>
          <w:noProof/>
        </w:rPr>
      </w:pPr>
      <w:r>
        <w:rPr>
          <w:rStyle w:val="H23GChar"/>
        </w:rPr>
        <w:t xml:space="preserve">Overzicht.  </w:t>
      </w:r>
      <w:r>
        <w:t>De General Comment is gebaseerd op de volgende fundamentele aannames en opmerkingen:</w:t>
      </w:r>
    </w:p>
    <w:p w14:paraId="561D6672" w14:textId="77777777" w:rsidR="005A0FD9" w:rsidRPr="00417398" w:rsidRDefault="00D61DB6" w:rsidP="0097391D">
      <w:pPr>
        <w:pStyle w:val="SingleTxtG"/>
        <w:ind w:firstLine="567"/>
        <w:rPr>
          <w:rFonts w:eastAsia="AGaramond-Regular"/>
          <w:noProof/>
        </w:rPr>
      </w:pPr>
      <w:r>
        <w:t>(a)</w:t>
      </w:r>
      <w:r>
        <w:tab/>
        <w:t>“Geen enkel geweld tegen kinderen is te rechtvaardigen; ieder geweld tegen kinderen moet worden voorkomen”;</w:t>
      </w:r>
      <w:r w:rsidR="005A0FD9" w:rsidRPr="00417398">
        <w:rPr>
          <w:rStyle w:val="FootnoteReference"/>
          <w:noProof/>
        </w:rPr>
        <w:footnoteReference w:id="2"/>
      </w:r>
      <w:r>
        <w:t xml:space="preserve"> </w:t>
      </w:r>
    </w:p>
    <w:p w14:paraId="40F01395" w14:textId="77777777" w:rsidR="005A0FD9" w:rsidRPr="00417398" w:rsidRDefault="00D61DB6" w:rsidP="0097391D">
      <w:pPr>
        <w:pStyle w:val="SingleTxtG"/>
        <w:ind w:firstLine="567"/>
        <w:rPr>
          <w:rFonts w:eastAsia="AGaramond-Regular"/>
          <w:noProof/>
        </w:rPr>
      </w:pPr>
      <w:r>
        <w:t>(b)</w:t>
      </w:r>
      <w:r>
        <w:tab/>
        <w:t xml:space="preserve"> Een op kinderrechten gebaseerde benadering van zorg en bescherming voor kinderen vraagt een paradigmaverschuiving naar het respecteren en bevorderen van de menselijke waardigheid en de lichamelijke en geestelijke integriteit van kinderen als individuen met rechten in plaats van ze voornamelijk te zien als "slachtoffers";</w:t>
      </w:r>
    </w:p>
    <w:p w14:paraId="552C11BF" w14:textId="77777777" w:rsidR="005A0FD9" w:rsidRPr="00417398" w:rsidRDefault="00D61DB6" w:rsidP="0097391D">
      <w:pPr>
        <w:pStyle w:val="SingleTxtG"/>
        <w:ind w:firstLine="567"/>
        <w:rPr>
          <w:rFonts w:eastAsia="AGaramond-Regular"/>
          <w:noProof/>
        </w:rPr>
      </w:pPr>
      <w:r>
        <w:t>(c)</w:t>
      </w:r>
      <w:r>
        <w:tab/>
        <w:t>Het begrip waardigheid vereist dat ieder kind wordt erkend, gerespecteerd en beschermd als houder van rechten en als unieke en waardevolle persoon met een eigen persoonlijkheid, behoeften, interesses en privacy;</w:t>
      </w:r>
    </w:p>
    <w:p w14:paraId="16B1A554" w14:textId="77777777" w:rsidR="005A0FD9" w:rsidRPr="00417398" w:rsidRDefault="00D61DB6" w:rsidP="0097391D">
      <w:pPr>
        <w:pStyle w:val="SingleTxtG"/>
        <w:ind w:firstLine="567"/>
        <w:rPr>
          <w:rFonts w:eastAsia="AGaramond-Regular"/>
          <w:noProof/>
        </w:rPr>
      </w:pPr>
      <w:r>
        <w:t>(d)</w:t>
      </w:r>
      <w:r>
        <w:tab/>
        <w:t>Het beginsel van rechtsstatelijkheid moet volledig gelden voor kinderen net zoals voor volwassenen;</w:t>
      </w:r>
    </w:p>
    <w:p w14:paraId="3820524B" w14:textId="77777777" w:rsidR="005A0FD9" w:rsidRPr="00417398" w:rsidRDefault="00D61DB6" w:rsidP="0097391D">
      <w:pPr>
        <w:pStyle w:val="SingleTxtG"/>
        <w:ind w:firstLine="567"/>
        <w:rPr>
          <w:rFonts w:eastAsia="AGaramond-Regular"/>
          <w:noProof/>
        </w:rPr>
      </w:pPr>
      <w:r>
        <w:t>(e)</w:t>
      </w:r>
      <w:r>
        <w:tab/>
        <w:t>De rechten van kinderen om gehoord te worden en dat er voldoende belang wordt gehecht aan hun mening dienen te worden gerespecteerd bij alle besluitvormingsprocessen, en hun mondigheid en medezeggenschap dienen centraal te staan bij strategieën en trajecten met betrekking tot de zorgverlening aan en bescherming van kinderen;</w:t>
      </w:r>
    </w:p>
    <w:p w14:paraId="4B01EBB9" w14:textId="77777777" w:rsidR="005A0FD9" w:rsidRPr="00417398" w:rsidRDefault="00D61DB6" w:rsidP="0097391D">
      <w:pPr>
        <w:pStyle w:val="SingleTxtG"/>
        <w:ind w:firstLine="567"/>
        <w:rPr>
          <w:rFonts w:eastAsia="AGaramond-Regular"/>
          <w:noProof/>
        </w:rPr>
      </w:pPr>
      <w:r>
        <w:lastRenderedPageBreak/>
        <w:t>(f)</w:t>
      </w:r>
      <w:r>
        <w:tab/>
        <w:t>Het recht van kinderen om hun belang vooropgesteld te hebben bij alle zaken die hen betreffen of die van invloed op hen zijn moet worden gerespecteerd, vooral als het slachtoffers van geweld zijn, en ook bij alle preventiemaatregelen;</w:t>
      </w:r>
    </w:p>
    <w:p w14:paraId="23BD084D" w14:textId="77777777" w:rsidR="005A0FD9" w:rsidRPr="00417398" w:rsidRDefault="00D61DB6" w:rsidP="0097391D">
      <w:pPr>
        <w:pStyle w:val="SingleTxtG"/>
        <w:ind w:firstLine="567"/>
        <w:rPr>
          <w:rFonts w:eastAsia="AGaramond-Regular"/>
          <w:noProof/>
        </w:rPr>
      </w:pPr>
      <w:r>
        <w:t>(g)</w:t>
      </w:r>
      <w:r>
        <w:tab/>
        <w:t>Primaire preventie, door openbare gezondheidszorg, onderwijs, sociale diensten en andere benaderingen, van alle vormen van geweld is van het allergrootste belang;</w:t>
      </w:r>
    </w:p>
    <w:p w14:paraId="25F441A0" w14:textId="77777777" w:rsidR="005A0FD9" w:rsidRPr="00417398" w:rsidRDefault="00D61DB6" w:rsidP="0097391D">
      <w:pPr>
        <w:pStyle w:val="SingleTxtG"/>
        <w:ind w:firstLine="567"/>
        <w:rPr>
          <w:noProof/>
        </w:rPr>
      </w:pPr>
      <w:r>
        <w:t>(h)</w:t>
      </w:r>
      <w:r>
        <w:tab/>
        <w:t>De Commissie erkent de primaire positie van gezinnen en grootfamilies bij de zorg aan en bescherming van kinderen en bij de preventie van geweld. Niettemin erkent het Comité ook dat het meeste geweld plaatsvindt in de context van het gezin en dat daarom interventie en ondersteuning nodig zijn als kinderen het slachtoffer worden van ontbering en leed door of in gezinnen;</w:t>
      </w:r>
    </w:p>
    <w:p w14:paraId="26864DD3" w14:textId="77777777" w:rsidR="005A0FD9" w:rsidRPr="00417398" w:rsidRDefault="00D61DB6" w:rsidP="0097391D">
      <w:pPr>
        <w:pStyle w:val="SingleTxtG"/>
        <w:ind w:firstLine="567"/>
        <w:rPr>
          <w:noProof/>
        </w:rPr>
      </w:pPr>
      <w:r>
        <w:t>(i)</w:t>
      </w:r>
      <w:r>
        <w:tab/>
        <w:t>De Commissie is ook bekend met het wijdverbreide en intense geweld dat wordt gebruikt tegen kinderen in instellingen van Staten die partij zijn bij het Verdrag en toegebracht wordt door personen in dienst van die Staten op scholen, in zorgcentra, tehuizen, in een politiecel en de gevangenis, tot de marteling en moord van kinderen aan toe, en geweld dat regelmatig tegen kinderen gebruikt wordt door gewapende groeperingen en het leger van een Staat die partij is bij het Verdrag.</w:t>
      </w:r>
    </w:p>
    <w:p w14:paraId="0964620F" w14:textId="7E49B6EC" w:rsidR="005A0FD9" w:rsidRPr="00417398" w:rsidRDefault="005A0FD9" w:rsidP="006D422E">
      <w:pPr>
        <w:pStyle w:val="SingleTxtG"/>
        <w:numPr>
          <w:ilvl w:val="0"/>
          <w:numId w:val="16"/>
        </w:numPr>
        <w:rPr>
          <w:iCs/>
          <w:noProof/>
        </w:rPr>
      </w:pPr>
      <w:r>
        <w:rPr>
          <w:rStyle w:val="H23GChar"/>
        </w:rPr>
        <w:t xml:space="preserve">Definitie van geweld. </w:t>
      </w:r>
      <w:r>
        <w:t>Ten behoeve van dit algemeen commentaar wordt onder "geweld” verstaan “alle vormen van lichamelijk of geestelijk geweld, letsel of misbruik, verwaarlozing of nalatige behandeling, mishandeling of uitbuiting, met inbegrip van seksueel misbruik” zoals beschreven in artikel 19.1 van het Verdrag. De term geweld is hier gekozen om alle in artikel 19 lid 1 genoemde vormen van schade aan kinderen weer te geven overeenkomstig de gebruikte terminologie in het onderzoek van de Verenigde Naties in 2006 over geweld tegen kinderen, hoewel de andere voor het beschrijven van vormen van schade gebruikte termen (letsel, misbruik, verwaarlozing, nalatige behandeling, mishandeling en uitbuiting) even belangrijk zijn.</w:t>
      </w:r>
      <w:r w:rsidRPr="00417398">
        <w:rPr>
          <w:rStyle w:val="FootnoteReference"/>
          <w:noProof/>
        </w:rPr>
        <w:footnoteReference w:id="3"/>
      </w:r>
      <w:r>
        <w:t xml:space="preserve"> In eenvoudig taalgebruik wordt met de term geweld vaak alleen lichamelijk geweld en/of opzettelijk geweld bedoeld. Het Comité onderstreept echter uiterst nadrukkelijk dat de keuze van de term geweld in dit General Comment</w:t>
      </w:r>
      <w:r w:rsidR="00A74CCC">
        <w:t xml:space="preserve"> </w:t>
      </w:r>
      <w:r>
        <w:t>op geen enkele manier is bedoeld om de invloed van niet-lichamelijke vormen van schade (zoals o.a. verwaarlozing en geestelijke mishandeling) en de noodzaak om deze aan te pakken te minimaliseren.</w:t>
      </w:r>
    </w:p>
    <w:p w14:paraId="6B129B16" w14:textId="77777777" w:rsidR="005A0FD9" w:rsidRPr="00417398" w:rsidRDefault="005A0FD9" w:rsidP="006D422E">
      <w:pPr>
        <w:pStyle w:val="SingleTxtG"/>
        <w:numPr>
          <w:ilvl w:val="0"/>
          <w:numId w:val="16"/>
        </w:numPr>
        <w:rPr>
          <w:noProof/>
        </w:rPr>
      </w:pPr>
      <w:r>
        <w:rPr>
          <w:rStyle w:val="H23GChar"/>
        </w:rPr>
        <w:t>Verplichtingen van Staten die partij zijn bij het Verdrag en de verantwoordelijkheden van familie en andere plegers.</w:t>
      </w:r>
      <w:r>
        <w:t xml:space="preserve"> Verwijzingen naar "Staten die partij zijn bij het Verdrag” houden verband met de verplichtingen van die Staten om hun verantwoordelijkheid jegens kinderen op landelijk niveau zowel als provinciaal en gemeentelijk niveau te nemen. Deze speciale verplichtingen betreffen de verplichting tot zorgvuldig onderzoek, de verplichting tot preventie van geweld of mensenrechtenschendingen, de verplichting kinderslachtoffers en getuigen van mensenrechtenschendingen te beschermen, de verplichting onderzoek te doen en de verantwoordelijken te straffen en de verplichting toe te laten dat verhaal wegens mensenrechtenschendingen mogelijk is. Ongeacht of geweld plaatsvindt, hebben Staten die partij zijn bij het Verdrag de positieve en actieve verplichting ouders en andere verzorgers te ondersteunen en helpen bij het naar vermogen en financiële draagkracht veiligstellen van de leefomstandigheden voor het kind die noodzakelijk zijn voor een optimale ontwikkeling van het kind, met inachtneming van de zich ontwikkelende capaciteiten van het kind (art. 18 en 27). Voorts moeten Staten die partij zijn bij het Verdrag ervoor zorgen dat alle personen die in de context van hun werk verantwoordelijk zijn voor de preventie van, bescherming tegen </w:t>
      </w:r>
      <w:r>
        <w:lastRenderedPageBreak/>
        <w:t xml:space="preserve">en respons op geweld of werkzaam zijn in het gevangeniswezen naar de behoeften van kinderen handelen en de rechten van kinderen respecteren. </w:t>
      </w:r>
    </w:p>
    <w:p w14:paraId="43D47954" w14:textId="77777777" w:rsidR="005A0FD9" w:rsidRPr="00417398" w:rsidRDefault="005A0FD9" w:rsidP="006D422E">
      <w:pPr>
        <w:pStyle w:val="SingleTxtG"/>
        <w:numPr>
          <w:ilvl w:val="0"/>
          <w:numId w:val="16"/>
        </w:numPr>
        <w:rPr>
          <w:noProof/>
        </w:rPr>
      </w:pPr>
      <w:r>
        <w:rPr>
          <w:rStyle w:val="H23GChar"/>
        </w:rPr>
        <w:t>De ontwikkeling van General Comment nr. 13.</w:t>
      </w:r>
      <w:r>
        <w:rPr>
          <w:b/>
          <w:bCs/>
        </w:rPr>
        <w:t xml:space="preserve"> </w:t>
      </w:r>
      <w:r>
        <w:t>Dit General Comment bouwt voort op de bestaande richtlijnen van het Comité in haar bespreking van de rapportages van Staten die partij zijn bij het Verdrag en de respectievelijke concluderende opmerkingen, de aanbevelingen van twee dagen algemene besprekingen over geweld tegen kinderen die werden gehouden in 2000 en 2001, General Comment nr. 8 (2006) over het recht van het kind op bescherming tegen lijfstraffen en andere wrede of vernederende vormen van bestraffing en verwijzingen in andere General Comments met betrekking tot het onderwerp geweld. Dit General Comment richt de aandacht op de aanbevelingen van het rapport uit 2006 van de onafhankelijke deskundige voor de Verenigde Naties over geweld tegen kinderen (A/61/299) en doet een beroep op Staten die partij zijn bij het Verdrag die aanbevelingen onverwijld door te voeren. De aandacht wordt gevestigd op de gedetailleerde begeleiding die in de Richtlijnen voor de Alternatieve Zorg voor Kinderen gegeven wordt.</w:t>
      </w:r>
      <w:r w:rsidRPr="00417398">
        <w:rPr>
          <w:rStyle w:val="FootnoteReference"/>
          <w:bCs/>
          <w:lang w:eastAsia="en-GB"/>
        </w:rPr>
        <w:footnoteReference w:id="4"/>
      </w:r>
      <w:r>
        <w:t xml:space="preserve"> Tevens wordt de aandacht gevestigd op de deskundigheid en ervaring van de organen van de Verenigde Naties, overheden, non-gouvernementele organisaties (ngo's), maatschappelijke organisaties, ontwikkelingsorganisaties en kinderen zelf die artikel 19 in de praktijk ten uitvoer willen leggen.</w:t>
      </w:r>
      <w:r w:rsidR="00AC7495" w:rsidRPr="00417398">
        <w:rPr>
          <w:rStyle w:val="FootnoteReference"/>
          <w:noProof/>
        </w:rPr>
        <w:footnoteReference w:id="5"/>
      </w:r>
    </w:p>
    <w:p w14:paraId="493F595E" w14:textId="77777777" w:rsidR="005A0FD9" w:rsidRPr="00417398" w:rsidRDefault="005A0FD9" w:rsidP="006D422E">
      <w:pPr>
        <w:pStyle w:val="SingleTxtG"/>
        <w:numPr>
          <w:ilvl w:val="0"/>
          <w:numId w:val="16"/>
        </w:numPr>
        <w:rPr>
          <w:noProof/>
        </w:rPr>
      </w:pPr>
      <w:r>
        <w:rPr>
          <w:b/>
        </w:rPr>
        <w:t xml:space="preserve">Artikel 19 in context. </w:t>
      </w:r>
      <w:r>
        <w:t xml:space="preserve">Het Comité erkent dat: </w:t>
      </w:r>
    </w:p>
    <w:p w14:paraId="1E543A6D" w14:textId="7E1EED7E" w:rsidR="005A0FD9" w:rsidRPr="00417398" w:rsidRDefault="006541A7" w:rsidP="0097391D">
      <w:pPr>
        <w:pStyle w:val="SingleTxtG"/>
        <w:ind w:firstLine="567"/>
      </w:pPr>
      <w:r>
        <w:t>(a)</w:t>
      </w:r>
      <w:r>
        <w:tab/>
        <w:t xml:space="preserve">Artikel 19 een van de vele bepalingen in het Verdrag is die direct met geweld te maken hebben. Het Comité erkent ook de directe relevantie met artikel 19 van het Optionele Protocol inzake de verkoop van kinderen, kinderprostitutie en kinderpornografie en het Optionele Protocol inzake de betrokkenheid van kinderen bij gewapende conflicten. Het Comité oordeelt echter dat artikel 19 de kernbepaling vormt voor besprekingen en strategieën om alle vormen van geweld in de context van het Verdrag breder aan te pakken en uit te bannen; </w:t>
      </w:r>
    </w:p>
    <w:p w14:paraId="205221D2" w14:textId="77777777" w:rsidR="005A0FD9" w:rsidRPr="00417398" w:rsidRDefault="006541A7" w:rsidP="0097391D">
      <w:pPr>
        <w:pStyle w:val="SingleTxtG"/>
        <w:ind w:firstLine="567"/>
        <w:rPr>
          <w:noProof/>
        </w:rPr>
      </w:pPr>
      <w:r>
        <w:t>(b)</w:t>
      </w:r>
      <w:r>
        <w:tab/>
        <w:t xml:space="preserve">Artikel 19 is sterk verbonden met een breed scala aan bepalingen in het Verdrag naast die bepalingen die direct geweld betreffen. Naast de artikelen over de rechten die de beginselen van het Verdrag worden genoemd (zie hoofdstuk V van dit algemene commentaar) moet de tenuitvoerlegging van artikel 19 gezien worden in de context van art. 5, 9, 18 en 27; </w:t>
      </w:r>
    </w:p>
    <w:p w14:paraId="09E82DF0" w14:textId="77777777" w:rsidR="005A0FD9" w:rsidRPr="00417398" w:rsidRDefault="006541A7" w:rsidP="0097391D">
      <w:pPr>
        <w:pStyle w:val="SingleTxtG"/>
        <w:ind w:firstLine="567"/>
        <w:rPr>
          <w:noProof/>
        </w:rPr>
      </w:pPr>
      <w:r>
        <w:t>(c)</w:t>
      </w:r>
      <w:r>
        <w:tab/>
        <w:t xml:space="preserve">De rechten van kinderen op respect voor hun menselijke waardigheid, lichamelijke en geestelijke integriteit en op gelijke bescherming voor de wet worden ook erkend in andere internationale en regionale mensenrechteninstrumenten; </w:t>
      </w:r>
    </w:p>
    <w:p w14:paraId="2B370FF4" w14:textId="77777777" w:rsidR="005A0FD9" w:rsidRPr="00417398" w:rsidRDefault="006541A7" w:rsidP="0097391D">
      <w:pPr>
        <w:pStyle w:val="SingleTxtG"/>
        <w:ind w:firstLine="567"/>
        <w:rPr>
          <w:noProof/>
        </w:rPr>
      </w:pPr>
      <w:r>
        <w:t>(d)</w:t>
      </w:r>
      <w:r>
        <w:tab/>
        <w:t>Invoering van artikel 19 vereist samenwerking binnen en tussen nationale, regionale en internationale mensenrechtenorganisaties, -mechanismen en organisaties van de Verenigde Naties;</w:t>
      </w:r>
    </w:p>
    <w:p w14:paraId="7A6BCD38" w14:textId="77777777" w:rsidR="005A0FD9" w:rsidRPr="00417398" w:rsidRDefault="006541A7" w:rsidP="0097391D">
      <w:pPr>
        <w:pStyle w:val="SingleTxtG"/>
        <w:ind w:firstLine="567"/>
        <w:rPr>
          <w:noProof/>
        </w:rPr>
      </w:pPr>
      <w:r>
        <w:t>(e)</w:t>
      </w:r>
      <w:r>
        <w:tab/>
        <w:t>Er moet vooral worden samengewerkt met de Speciale Vertegenwoordiger van de Secretaris-Generaal inzake Geweld tegen Kinderen, die het mandaat heeft om de invoering van de aanbevelingen van het onderzoek van de Verenigde Naties naar geweld tegen kinderen in nauwe samenwerking met de Lidstaten en een brede reeks van partners, waaronder de organen en organisaties van de Verenigde Naties, maatschappelijke organisaties en kinderen te bevorderen om het recht van het kind op bevrijding van alle vormen van geweld te waarborgen.</w:t>
      </w:r>
    </w:p>
    <w:p w14:paraId="14ACC56C" w14:textId="77777777" w:rsidR="005A0FD9" w:rsidRPr="00417398" w:rsidRDefault="005A0FD9" w:rsidP="006D422E">
      <w:pPr>
        <w:pStyle w:val="SingleTxtG"/>
        <w:numPr>
          <w:ilvl w:val="0"/>
          <w:numId w:val="16"/>
        </w:numPr>
        <w:rPr>
          <w:noProof/>
        </w:rPr>
      </w:pPr>
      <w:r>
        <w:rPr>
          <w:rStyle w:val="H23GChar"/>
        </w:rPr>
        <w:lastRenderedPageBreak/>
        <w:t>Verspreiding</w:t>
      </w:r>
      <w:r>
        <w:t xml:space="preserve"> Het advies van het Comité is dat Staten die partij zijn bij het Verdrag dit General Comment wijd verspreiden binnen de overheid en administratieve structuren, onder ouders, andere verzorgers, kinderen, professionele organisaties, gemeenschappen en de maatschappij in het algemeen. Alle verspreidingskanalen, zoals pers, internet en de eigen communicatiemiddelen van kinderen moeten daarvoor ingezet worden. Dit houdt in dat het in de betreffende talen en ook gebarentalen, braille en makkelijk leesbare formats voor kinderen met een handicap vertaald en omgezet moet worden. Het betekent ook dat er cultureel geschikte en kindvriendelijke versies moeten komen, workshops en seminars gehouden moeten worden, leeftijd- en handicapgerichte ondersteuning ingevoerd moet worden om de implicaties te bespreken en te bespreken hoe dit het beste ingevoerd kan worden, en dit te verwerken in de training van alle professionals die voor en met kinderen werken.</w:t>
      </w:r>
    </w:p>
    <w:p w14:paraId="431E7F40" w14:textId="77777777" w:rsidR="005A0FD9" w:rsidRPr="00417398" w:rsidRDefault="005A0FD9" w:rsidP="006D422E">
      <w:pPr>
        <w:pStyle w:val="SingleTxtG"/>
        <w:numPr>
          <w:ilvl w:val="0"/>
          <w:numId w:val="16"/>
        </w:numPr>
        <w:rPr>
          <w:noProof/>
        </w:rPr>
      </w:pPr>
      <w:r>
        <w:rPr>
          <w:rStyle w:val="H23GChar"/>
        </w:rPr>
        <w:t>Rapportagevereisten in het kader van het Verdrag</w:t>
      </w:r>
      <w:r>
        <w:rPr>
          <w:b/>
        </w:rPr>
        <w:t xml:space="preserve"> </w:t>
      </w:r>
      <w:r>
        <w:t>Het Comité verwijst Staten die partij zijn bij het Verdrag naar de verslagleggingscriteria volgens de verdragsspecifieke rapportagerichtlijnen (CRC/C/58/Rev.2 en Corr.1), in General Comment nr. 8 (par. 53), en de concluderende opmerkingen van het Comité die werden aangenomen na de dialoog met de vertegenwoordigers van Staten die partij zijn bij het Verdrag. Dit General Comment consolideert en beschrijft de maatregelen waarover Staten die partij zijn bij het Verdrag geacht worden informatie te geven in de rapportages die ingevolge artikel 44 van het Verdrag uitgebracht moeten worden. Het Comité adviseert Staten die partij zijn bij het Verdrag ook informatie op te nemen over de gemaakte vorderingen met betrekking tot het invoeren van de aanbevelingen van het onderzoek van de Verenigde Naties over geweld tegen kinderen (A/61/299, par. 116). De rapportage moet wet- en regelgeving omvatten die erop gericht is geweld te verbieden en adequaat in te grijpen als er geweld plaatsvindt en ook maatregelen voor de preventie van geweld, bewustmakingsactiviteiten en het bevorderen van positieve relaties zonder geweld. Voorts dient in de rapportages te worden beschreven wie de verantwoordelijkheid heeft voor het kind en het gezin in ieder stadium van interventie (waaronder ook preventie), wat die verantwoordelijkheden zijn in welk stadium en onder welke omstandigheden professionals kunnen ingrijpen en hoe de verschillende sectoren samenwerken.</w:t>
      </w:r>
    </w:p>
    <w:p w14:paraId="04048AE0" w14:textId="77777777" w:rsidR="005A0FD9" w:rsidRPr="00417398" w:rsidRDefault="005A0FD9" w:rsidP="006D422E">
      <w:pPr>
        <w:pStyle w:val="SingleTxtG"/>
        <w:numPr>
          <w:ilvl w:val="0"/>
          <w:numId w:val="16"/>
        </w:numPr>
        <w:rPr>
          <w:noProof/>
        </w:rPr>
      </w:pPr>
      <w:r>
        <w:rPr>
          <w:rStyle w:val="H23GChar"/>
        </w:rPr>
        <w:t xml:space="preserve">Verdere informatiebronnen </w:t>
      </w:r>
      <w:r>
        <w:t xml:space="preserve">Het Comité stimuleert ook organen van de Verenigde Naties, nationale mensenrechtenorganisaties, ngo's en andere bevoegde organisaties om haar relevante informatie over de wettelijke status en gangbaarheid van alle vormen van geweld en de voortgang met betrekking tot de uitbanning daarvan te verstrekken. </w:t>
      </w:r>
    </w:p>
    <w:p w14:paraId="3D5077EF" w14:textId="77777777" w:rsidR="005A0FD9" w:rsidRPr="00417398" w:rsidRDefault="006D422E" w:rsidP="006D422E">
      <w:pPr>
        <w:pStyle w:val="HChG"/>
        <w:rPr>
          <w:noProof/>
        </w:rPr>
      </w:pPr>
      <w:r>
        <w:tab/>
      </w:r>
      <w:bookmarkStart w:id="11" w:name="_Toc285723367"/>
      <w:bookmarkStart w:id="12" w:name="_Toc285724522"/>
      <w:bookmarkStart w:id="13" w:name="_Toc285724582"/>
      <w:bookmarkStart w:id="14" w:name="_Toc285724729"/>
      <w:bookmarkStart w:id="15" w:name="_Toc285724987"/>
      <w:r>
        <w:t>II.</w:t>
      </w:r>
      <w:r>
        <w:tab/>
        <w:t>Doelstellingen</w:t>
      </w:r>
      <w:bookmarkEnd w:id="11"/>
      <w:bookmarkEnd w:id="12"/>
      <w:bookmarkEnd w:id="13"/>
      <w:bookmarkEnd w:id="14"/>
      <w:bookmarkEnd w:id="15"/>
    </w:p>
    <w:p w14:paraId="5315ED61" w14:textId="77777777" w:rsidR="005A0FD9" w:rsidRPr="00417398" w:rsidRDefault="005A0FD9" w:rsidP="006D422E">
      <w:pPr>
        <w:pStyle w:val="SingleTxtG"/>
        <w:numPr>
          <w:ilvl w:val="0"/>
          <w:numId w:val="16"/>
        </w:numPr>
      </w:pPr>
      <w:r>
        <w:t>Dit General Comment is bedoeld om:</w:t>
      </w:r>
    </w:p>
    <w:p w14:paraId="0B408F1D" w14:textId="77777777" w:rsidR="005A0FD9" w:rsidRPr="00417398" w:rsidRDefault="007F75EE" w:rsidP="0097391D">
      <w:pPr>
        <w:pStyle w:val="SingleTxtG"/>
        <w:ind w:firstLine="567"/>
      </w:pPr>
      <w:r>
        <w:t>(a)</w:t>
      </w:r>
      <w:r>
        <w:tab/>
        <w:t>Staten die partij zijn bij het Verdrag te begeleiden bij het begrijpen van hun verplichtingen uit hoofde van artikel 19 van het Verdrag om alle vormen van lichamelijk of geestelijk geweld, letsel of misbruik, lichamelijke of geestelijke verwaarlozing of nalatige behandeling, mishandeling of exploitatie, met inbegrip van seksueel misbruik, terwijl het kind onder de hoede is van de ouder(s), wettige voogd(en) of iemand anders die de zorg voor het kind heeft;</w:t>
      </w:r>
    </w:p>
    <w:p w14:paraId="46BEFC17" w14:textId="77777777" w:rsidR="005A0FD9" w:rsidRPr="00417398" w:rsidRDefault="007F75EE" w:rsidP="0097391D">
      <w:pPr>
        <w:pStyle w:val="SingleTxtG"/>
        <w:ind w:firstLine="567"/>
      </w:pPr>
      <w:r>
        <w:t>(b)</w:t>
      </w:r>
      <w:r>
        <w:tab/>
        <w:t>de wettelijke, rechterlijke, bestuurlijke, sociale en opvoedkundige maatregelen te schetsen die Staten die partij zijn bij het Verdrag moeten nemen;</w:t>
      </w:r>
    </w:p>
    <w:p w14:paraId="27D9CCCF" w14:textId="77777777" w:rsidR="005A0FD9" w:rsidRPr="00417398" w:rsidRDefault="007F75EE" w:rsidP="0097391D">
      <w:pPr>
        <w:pStyle w:val="SingleTxtG"/>
        <w:ind w:firstLine="567"/>
      </w:pPr>
      <w:r>
        <w:t>(c)</w:t>
      </w:r>
      <w:r>
        <w:tab/>
        <w:t xml:space="preserve">losstaande, fragmentarische en reactieve initiatieven om de zorg aan en bescherming van kinderen aan te pakken die een beperkte invloed hebben op de preventie en uitbanning van alle vormen van geweld weerstaan; </w:t>
      </w:r>
    </w:p>
    <w:p w14:paraId="6992DB7E" w14:textId="77777777" w:rsidR="005A0FD9" w:rsidRPr="00417398" w:rsidRDefault="007F75EE" w:rsidP="0097391D">
      <w:pPr>
        <w:pStyle w:val="SingleTxtG"/>
        <w:ind w:firstLine="567"/>
      </w:pPr>
      <w:r>
        <w:lastRenderedPageBreak/>
        <w:t>(d)</w:t>
      </w:r>
      <w:r>
        <w:tab/>
        <w:t>een holistische benadering van de tenuitvoerlegging van artikel 19 bevorderen op basis van het algemene perspectief van het Verdrag over het veiligstellen van de rechten van kinderen op overleven, waardigheid, welzijn, gezondheid, ontwikkeling, medezeggenschap en een gelijke behandeling – waarvan de naleving wordt bedreigd door geweld;</w:t>
      </w:r>
    </w:p>
    <w:p w14:paraId="41FB56C0" w14:textId="77777777" w:rsidR="005A0FD9" w:rsidRPr="00417398" w:rsidRDefault="007F75EE" w:rsidP="005D05EA">
      <w:pPr>
        <w:pStyle w:val="SingleTxtG"/>
        <w:ind w:firstLine="567"/>
      </w:pPr>
      <w:r>
        <w:t>(e)</w:t>
      </w:r>
      <w:r>
        <w:tab/>
        <w:t>Staten die partij zijn bij het Verdrag en andere belanghebbende partijen een basis geven waarop zij een coördinatiekader kunnen ontwikkelen voor het uitbannen van geweld door middel van uitgebreide op de rechten van het kind gebaseerde zorg- en beschermingsmaatregelen;</w:t>
      </w:r>
    </w:p>
    <w:p w14:paraId="623BE5C1" w14:textId="77777777" w:rsidR="005A0FD9" w:rsidRPr="00417398" w:rsidRDefault="007F75EE" w:rsidP="0097391D">
      <w:pPr>
        <w:pStyle w:val="SingleTxtG"/>
        <w:ind w:firstLine="567"/>
      </w:pPr>
      <w:r>
        <w:t>(f)</w:t>
      </w:r>
      <w:r>
        <w:tab/>
        <w:t>in het bijzonder de aandacht vestigen op de noodzaak voor alle Staten die partij zijn bij het Verdrag om snel stappen te ondernemen om aan hun verplichtingen uit hoofde van artikel 19 te voldoen.</w:t>
      </w:r>
    </w:p>
    <w:p w14:paraId="2EEA0D6F" w14:textId="77777777" w:rsidR="005A0FD9" w:rsidRPr="00417398" w:rsidRDefault="006D422E" w:rsidP="006D422E">
      <w:pPr>
        <w:pStyle w:val="HChG"/>
        <w:rPr>
          <w:noProof/>
        </w:rPr>
      </w:pPr>
      <w:r>
        <w:tab/>
      </w:r>
      <w:bookmarkStart w:id="16" w:name="_Toc285723368"/>
      <w:bookmarkStart w:id="17" w:name="_Toc285724523"/>
      <w:bookmarkStart w:id="18" w:name="_Toc285724583"/>
      <w:bookmarkStart w:id="19" w:name="_Toc285724730"/>
      <w:bookmarkStart w:id="20" w:name="_Toc285724988"/>
      <w:r>
        <w:t>III.</w:t>
      </w:r>
      <w:r>
        <w:tab/>
        <w:t>Geweld in de levens van kinderen</w:t>
      </w:r>
      <w:bookmarkEnd w:id="16"/>
      <w:bookmarkEnd w:id="17"/>
      <w:bookmarkEnd w:id="18"/>
      <w:bookmarkEnd w:id="19"/>
      <w:bookmarkEnd w:id="20"/>
      <w:r>
        <w:t xml:space="preserve"> </w:t>
      </w:r>
    </w:p>
    <w:p w14:paraId="64121983" w14:textId="77777777" w:rsidR="005A0FD9" w:rsidRPr="00417398" w:rsidRDefault="005A0FD9" w:rsidP="006D422E">
      <w:pPr>
        <w:pStyle w:val="SingleTxtG"/>
        <w:numPr>
          <w:ilvl w:val="0"/>
          <w:numId w:val="16"/>
        </w:numPr>
        <w:rPr>
          <w:noProof/>
        </w:rPr>
      </w:pPr>
      <w:r>
        <w:rPr>
          <w:rStyle w:val="H23GChar"/>
        </w:rPr>
        <w:t xml:space="preserve">Uitdagingen </w:t>
      </w:r>
      <w:r>
        <w:t xml:space="preserve">Het Comité erkent en verwelkomt de talloze door overheden en anderen ontwikkelde initiatieven om geweld tegen kinderen te voorkomen en daarop te reageren. Ondanks deze pogingen zijn bestaande initiatieven over het algemeen onvoldoende. De wettelijke kaders in de meeste Staten die partij zijn bij het Verdrag zijn nog steeds niet in staat alle vormen van geweld tegen kinderen te verhinderen en daar waar er wetten zijn is de handhaving vaak niet adequaat. Wijdverspreide sociale en culturele houdingen en praktijken geven ruimte voor geweld. De invloed van genomen maatregelen wordt beperkt door gebrek aan kennis, gegevens over en begrip van geweld tegen kinderen en de onderliggende oorzaken daarvan, door inspanningen in reactie daarop die zich richten op symptomen en consequenties in plaats van oorzaken, en door strategieën die los van elkaar staan in plaats van dat ze geïntegreerd zijn. De middelen die zijn toegewezen om het probleem aan te pakken zijn niet adequaat. </w:t>
      </w:r>
    </w:p>
    <w:p w14:paraId="2569ADA7" w14:textId="5E639E29" w:rsidR="005A0FD9" w:rsidRPr="00417398" w:rsidRDefault="005A0FD9" w:rsidP="006D422E">
      <w:pPr>
        <w:pStyle w:val="SingleTxtG"/>
        <w:numPr>
          <w:ilvl w:val="0"/>
          <w:numId w:val="16"/>
        </w:numPr>
        <w:rPr>
          <w:noProof/>
        </w:rPr>
      </w:pPr>
      <w:r>
        <w:rPr>
          <w:rStyle w:val="H23GChar"/>
        </w:rPr>
        <w:t xml:space="preserve">De mensenrechtenverplichting </w:t>
      </w:r>
      <w:r>
        <w:t xml:space="preserve">Het aanpakken en uitbannen van wijdverbreid gangbaar en voorkomend geweld tegen kinderen is een verplichting uit hoofde van het Verdrag van Staten die partij zijn. Het veiligstellen en bevorderen van de grondrechten van kinderen op respect voor hun menselijke waardigheid en lichamelijke en geestelijke integriteit door het voorkomen van alle vormen van geweld is essentieel voor het bevorderen van het gehele pakket aan rechten van het kind. Alle andere hier gegeven argumenten versterken maar vervangen deze mensenrechtenverplichting niet. Strategieën en systemen om geweld te voorkomen en aan te pakken moeten daarvoor uitgaan van de rechten van het kind in plaats van een aanpak die gericht is op het welzijn van het kind. (Zie par. </w:t>
      </w:r>
      <w:r w:rsidR="004D3975" w:rsidRPr="00417398">
        <w:fldChar w:fldCharType="begin"/>
      </w:r>
      <w:r w:rsidR="004D3975" w:rsidRPr="00417398">
        <w:instrText xml:space="preserve"> REF _Ref286831141 \r \h </w:instrText>
      </w:r>
      <w:r w:rsidR="004D3975" w:rsidRPr="00417398">
        <w:fldChar w:fldCharType="separate"/>
      </w:r>
      <w:r w:rsidR="00A74CCC">
        <w:t>53</w:t>
      </w:r>
      <w:r w:rsidR="004D3975" w:rsidRPr="00417398">
        <w:fldChar w:fldCharType="end"/>
      </w:r>
      <w:r>
        <w:t xml:space="preserve"> voor meer informatie).</w:t>
      </w:r>
    </w:p>
    <w:p w14:paraId="6237AB32" w14:textId="77777777" w:rsidR="005A0FD9" w:rsidRPr="00417398" w:rsidRDefault="005A0FD9" w:rsidP="006D422E">
      <w:pPr>
        <w:pStyle w:val="SingleTxtG"/>
        <w:numPr>
          <w:ilvl w:val="0"/>
          <w:numId w:val="16"/>
        </w:numPr>
        <w:rPr>
          <w:noProof/>
        </w:rPr>
      </w:pPr>
      <w:r>
        <w:rPr>
          <w:rStyle w:val="H23GChar"/>
        </w:rPr>
        <w:t xml:space="preserve">Maatschappelijke ontwikkeling en de bijdrage daaraan van kinderen </w:t>
      </w:r>
      <w:r>
        <w:t xml:space="preserve">Een respectvolle, ondersteunende omgeving voor het grootbrengen van kinderen die vrij is van geweld ondersteunt de verwezenlijking van de individuele persoonlijkheden van kinderen en koestert de ontwikkeling van sociale, verantwoordelijke en actief bijdragende burgers in de lokale gemeenschap en de gehele grote maatschappij. Uit onderzoek blijkt dat gewelddadig handelen minder waarschijnlijk is bij kinderen die geen geweld hebben ervaren en die zich op een gezonde manier ontwikkelen, zowel in hun jeugd als wanneer ze eenmaal volwassen zijn. Het voorkomen van geweld in de ene generatie maakt geweld in de daaropvolgende generatie minder waarschijnlijk. Tenuitvoerlegging van artikel 19 is daarom een van de belangrijkste strategieën om alle vormen van geweld in samenlevingen te doen afnemen en te voorkomen en om “sociale vooruitgang en een betere levensstandaard” te bevorderen en “vrijheid, gerechtigheid en vrede op de wereld” voor de “familie van de mens” waarin </w:t>
      </w:r>
      <w:r>
        <w:lastRenderedPageBreak/>
        <w:t>kinderen een plaats en waarde hebben die hetzelfde is als die van volwassenen (Inleiding Verdrag).</w:t>
      </w:r>
    </w:p>
    <w:p w14:paraId="0CAF7A9A" w14:textId="77777777" w:rsidR="005A0FD9" w:rsidRPr="00417398" w:rsidRDefault="005A0FD9" w:rsidP="006D422E">
      <w:pPr>
        <w:pStyle w:val="SingleTxtG"/>
        <w:numPr>
          <w:ilvl w:val="0"/>
          <w:numId w:val="16"/>
        </w:numPr>
        <w:rPr>
          <w:noProof/>
        </w:rPr>
      </w:pPr>
      <w:r>
        <w:rPr>
          <w:rStyle w:val="H23GChar"/>
        </w:rPr>
        <w:t xml:space="preserve">Overleving en ontwikkeling - de verwoestende invloed van geweld tegen kinderen </w:t>
      </w:r>
      <w:r>
        <w:t xml:space="preserve">Hoe kinderen overleven en hun “lichamelijke, geestelijke, spirituele, morele en sociale ontwikkeling” (art. 27, lid 1) wordt ernstig negatief beïnvloed door geweld, op manieren als hieronder beschreven: </w:t>
      </w:r>
    </w:p>
    <w:p w14:paraId="42FF2CD4" w14:textId="77777777" w:rsidR="005A0FD9" w:rsidRPr="00417398" w:rsidRDefault="00690112" w:rsidP="006D422E">
      <w:pPr>
        <w:pStyle w:val="SingleTxtG"/>
        <w:ind w:firstLine="567"/>
        <w:rPr>
          <w:noProof/>
        </w:rPr>
      </w:pPr>
      <w:r>
        <w:t>(a)</w:t>
      </w:r>
      <w:r>
        <w:tab/>
        <w:t>De gevolgen op de korte en lange termijn van geweld tegen kinderen en kindermishandeling worden breed erkend. Hieronder vallen: dodelijk letsel, niet-dodelijk letsel (mogelijk leidend tot invaliditeit), problemen met de geestelijke gezondheid (zoals niet normaal functioneren, latere long-, hart- en leverkwalen en seksueel overdraagbare infecties); cognitieve beperkingen (zoals slechtere school- en werkprestaties); geestelijke en emotionele gevolgen (zoals het gevoel afgewezen en in de steek gelaten te worden, zich slecht kunnen hechten, trauma, angst, paniek, onzekerheid en ondermijnd zelfrespect); problemen met de geestelijke gezondheid (zoals angststoornissen en depressiviteit, hallucinaties, geheugenstoornissen en zelfmoordpogingen); en gezondheidsbedreigend gedrag (zoals drugsmisbruik en vroeg seksueel gedrag);</w:t>
      </w:r>
    </w:p>
    <w:p w14:paraId="52679469" w14:textId="77777777" w:rsidR="005A0FD9" w:rsidRPr="00417398" w:rsidRDefault="00690112" w:rsidP="006D422E">
      <w:pPr>
        <w:pStyle w:val="SingleTxtG"/>
        <w:ind w:firstLine="567"/>
        <w:rPr>
          <w:noProof/>
        </w:rPr>
      </w:pPr>
      <w:r>
        <w:t>(b)</w:t>
      </w:r>
      <w:r>
        <w:tab/>
        <w:t>Gevolgen voor ontwikkeling en gedrag (spijbelen en agressief, asociaal, automutilatie en interpersoonlijk beschadigend gedrag) kan o.a. leiden tot een verslechtering van relaties, uitsluiting van school en in aanraking komen met justitie). Het is aangetoond dat een kind door blootstelling aan geweld een groter risico heeft vaker slachtoffer te worden en meerdere gewelddadige ervaringen op te doen, waaronder later intiem geweld door de partner.</w:t>
      </w:r>
      <w:r w:rsidR="005A0FD9" w:rsidRPr="00417398">
        <w:rPr>
          <w:rStyle w:val="FootnoteReference"/>
          <w:rFonts w:eastAsia="AGaramond-Regular"/>
          <w:noProof/>
        </w:rPr>
        <w:footnoteReference w:id="6"/>
      </w:r>
    </w:p>
    <w:p w14:paraId="6AB5605A" w14:textId="77777777" w:rsidR="005A0FD9" w:rsidRPr="00417398" w:rsidRDefault="00690112" w:rsidP="006D422E">
      <w:pPr>
        <w:pStyle w:val="SingleTxtG"/>
        <w:ind w:firstLine="567"/>
        <w:rPr>
          <w:rFonts w:eastAsia="AGaramond-Regular"/>
          <w:noProof/>
        </w:rPr>
      </w:pPr>
      <w:r>
        <w:t>(c)</w:t>
      </w:r>
      <w:r>
        <w:tab/>
        <w:t>De invloed op kinderen, met name adolescenten, van autoritair of “zero-tolerance”-beleid van Staten die partij zijn in antwoord op geweld tegen kinderen is sterk destructief, omdat het een punitieve aanpak is die slachtoffers van kinderen maakt door op geweld te reageren met meer geweld. Dergelijk beleid krijgt vaak vorm door publieke bezorgdheid over de veiligheid van burgers en door de hoge profilering van deze onderwerpen in de massamedia. Het beleid van Staten die partij zijn op het punt van openbare veiligheid dient zorgvuldig te kijken naar de grondoorzaken van door kinderen gepleegde strafbare feiten om een uitweg te bieden uit de vicieuze cirkel van geweld vergelden met geweld.</w:t>
      </w:r>
    </w:p>
    <w:p w14:paraId="4B3E3F3A" w14:textId="77777777" w:rsidR="005A0FD9" w:rsidRPr="00417398" w:rsidRDefault="005A0FD9" w:rsidP="006D422E">
      <w:pPr>
        <w:pStyle w:val="SingleTxtG"/>
        <w:numPr>
          <w:ilvl w:val="0"/>
          <w:numId w:val="16"/>
        </w:numPr>
        <w:rPr>
          <w:noProof/>
        </w:rPr>
      </w:pPr>
      <w:r>
        <w:rPr>
          <w:rStyle w:val="H23GChar"/>
        </w:rPr>
        <w:t>De kosten van geweld tegen kinderen</w:t>
      </w:r>
      <w:r>
        <w:t xml:space="preserve"> De menselijke, sociale en economische kosten van het ontzeggen van het recht van kinderen op bescherming zijn enorm en niet acceptabel. Tot de directe kosten kunnen medische zorg, juridische en maatschappelijke hulpverlening en alternatieve zorg behoren. Tot de indirecte kosten kunnen mogelijk blijvend letsel of invaliditeit, geestelijke kosten of andere invloeden op iemands kwaliteit van leven, verstoring of onderbreking van onderwijs en productieverlies in het toekomstige leven van het kind behoren.</w:t>
      </w:r>
      <w:r>
        <w:rPr>
          <w:rStyle w:val="FootnoteReference"/>
        </w:rPr>
        <w:t xml:space="preserve"> </w:t>
      </w:r>
      <w:r>
        <w:t>Daartoe vallen ook kosten in verband met het strafrechtsysteem als gevolg van misdaden die zijn begaan door kinderen die zelf geweld hebben ervaren. De maatschappelijke kosten die voortkomen uit een demografische onbalans vanwege de discriminerende eliminatie van meisjes voor de geboorte zijn hoog en leiden tot mogelijke implicaties voor meer geweld tegen meisjes zoals ontvoering, vroege en gedwongen huwelijken, mensenhandel voor seksuele doeleinden en seksueel geweld.</w:t>
      </w:r>
    </w:p>
    <w:p w14:paraId="2E0C6871" w14:textId="77777777" w:rsidR="005A0FD9" w:rsidRPr="00417398" w:rsidRDefault="006D422E" w:rsidP="006D422E">
      <w:pPr>
        <w:pStyle w:val="HChG"/>
        <w:rPr>
          <w:noProof/>
        </w:rPr>
      </w:pPr>
      <w:r>
        <w:lastRenderedPageBreak/>
        <w:tab/>
      </w:r>
      <w:bookmarkStart w:id="21" w:name="_Toc285723369"/>
      <w:bookmarkStart w:id="22" w:name="_Toc285724524"/>
      <w:bookmarkStart w:id="23" w:name="_Toc285724584"/>
      <w:bookmarkStart w:id="24" w:name="_Toc285724731"/>
      <w:bookmarkStart w:id="25" w:name="_Toc285724989"/>
      <w:r>
        <w:t>IV.</w:t>
      </w:r>
      <w:r>
        <w:tab/>
        <w:t>Juridische analyse van artikel 19</w:t>
      </w:r>
      <w:bookmarkEnd w:id="21"/>
      <w:bookmarkEnd w:id="22"/>
      <w:bookmarkEnd w:id="23"/>
      <w:bookmarkEnd w:id="24"/>
      <w:bookmarkEnd w:id="25"/>
      <w:r>
        <w:t xml:space="preserve"> </w:t>
      </w:r>
    </w:p>
    <w:p w14:paraId="2D0F7EC2" w14:textId="77777777" w:rsidR="005A0FD9" w:rsidRPr="00417398" w:rsidRDefault="00FB349E" w:rsidP="00FB349E">
      <w:pPr>
        <w:pStyle w:val="H1G"/>
        <w:rPr>
          <w:noProof/>
        </w:rPr>
      </w:pPr>
      <w:r>
        <w:tab/>
        <w:t>A.</w:t>
      </w:r>
      <w:r>
        <w:tab/>
      </w:r>
      <w:bookmarkStart w:id="26" w:name="_Toc285724525"/>
      <w:bookmarkStart w:id="27" w:name="_Toc285724585"/>
      <w:bookmarkStart w:id="28" w:name="_Toc285724732"/>
      <w:bookmarkStart w:id="29" w:name="_Toc285724990"/>
      <w:r>
        <w:t>Artikel 19 lid 1</w:t>
      </w:r>
      <w:bookmarkStart w:id="30" w:name="_Toc285723370"/>
      <w:r>
        <w:t xml:space="preserve"> </w:t>
      </w:r>
      <w:bookmarkEnd w:id="30"/>
      <w:bookmarkEnd w:id="26"/>
      <w:bookmarkEnd w:id="27"/>
      <w:bookmarkEnd w:id="28"/>
      <w:bookmarkEnd w:id="29"/>
    </w:p>
    <w:p w14:paraId="467EABCC" w14:textId="77777777" w:rsidR="005A0FD9" w:rsidRPr="00417398" w:rsidRDefault="00FB349E" w:rsidP="00690112">
      <w:pPr>
        <w:pStyle w:val="H23G"/>
        <w:rPr>
          <w:noProof/>
        </w:rPr>
      </w:pPr>
      <w:r>
        <w:tab/>
      </w:r>
      <w:bookmarkStart w:id="31" w:name="_Toc285723371"/>
      <w:bookmarkStart w:id="32" w:name="_Toc285724526"/>
      <w:bookmarkStart w:id="33" w:name="_Toc285724586"/>
      <w:bookmarkStart w:id="34" w:name="_Toc285724733"/>
      <w:bookmarkStart w:id="35" w:name="_Toc285724991"/>
      <w:r>
        <w:t>1.</w:t>
      </w:r>
      <w:r>
        <w:tab/>
        <w:t>"...alle vormen van ...”</w:t>
      </w:r>
      <w:bookmarkEnd w:id="31"/>
      <w:bookmarkEnd w:id="32"/>
      <w:bookmarkEnd w:id="33"/>
      <w:bookmarkEnd w:id="34"/>
      <w:bookmarkEnd w:id="35"/>
    </w:p>
    <w:p w14:paraId="04918A5A" w14:textId="5E93A465" w:rsidR="005A0FD9" w:rsidRPr="00417398" w:rsidRDefault="005A0FD9" w:rsidP="006D422E">
      <w:pPr>
        <w:pStyle w:val="SingleTxtG"/>
        <w:numPr>
          <w:ilvl w:val="0"/>
          <w:numId w:val="16"/>
        </w:numPr>
        <w:rPr>
          <w:noProof/>
        </w:rPr>
      </w:pPr>
      <w:r>
        <w:rPr>
          <w:b/>
        </w:rPr>
        <w:t>Geen uitzonderingen</w:t>
      </w:r>
      <w:r>
        <w:t xml:space="preserve"> Het Comité heeft consequent het standpunt gehandhaafd dat alle vormen van geweld tegen kinderen, hoe licht ook, onaanvaardbaar zijn. “Alle vormen van lichamelijk of geestelijk geweld” laat geen ruimte voor enige mate van gesanctioneerd geweld tegen kinderen. Frequentie, ernst van de schade en de bedoeling om schade toe te brengen zijn geen eerste vereiste voor de definitie van geweld. Staten die partij zijn bij het Verdrag kunnen in interventiestrategieën verwijzen naar dergelijke factoren om proportionele reacties mogelijk te maken in het belang van het kind, maar definities mogen op geen enkele manier het absolute recht van het kind op menselijke waardigheid en fysieke en psychologische integriteit aantasten door bepaalde vormen van geweld te beschrijven als wettelijk en/of sociaal aanvaardbaar. </w:t>
      </w:r>
    </w:p>
    <w:p w14:paraId="5E755EFB" w14:textId="77777777" w:rsidR="005A0FD9" w:rsidRPr="00417398" w:rsidRDefault="005A0FD9" w:rsidP="006D422E">
      <w:pPr>
        <w:pStyle w:val="SingleTxtG"/>
        <w:numPr>
          <w:ilvl w:val="0"/>
          <w:numId w:val="16"/>
        </w:numPr>
        <w:rPr>
          <w:noProof/>
        </w:rPr>
      </w:pPr>
      <w:r>
        <w:rPr>
          <w:b/>
        </w:rPr>
        <w:t>Definities op basis van de noodzaak van kinderrechten</w:t>
      </w:r>
      <w:r>
        <w:t xml:space="preserve"> Staten die partij zijn, moeten nationale normen vaststellen voor het welzijn, de gezondheid en de ontwikkeling van kinderen, want het veiligstellen van deze voorwaarden is het uiteindelijke doel van zorg voor en bescherming van kinderen. Er zijn duidelijke operationele wettelijke definities nodig van de verschillende vormen van geweld die in artikel 19 worden geschetst om alle vormen van geweld in alle contexten te verbieden. Deze definities moeten rekening houden met de richtlijnen in deze algemene opmerking, moeten voldoende duidelijk zijn om bruikbaar te zijn en moeten van toepassing zijn in verschillende samenlevingen en culturen. Inspanningen om definities internationaal te standaardiseren (om het verzamelen van gegevens en grensoverschrijdende uitwisseling van ervaringen te vergemakkelijken) moeten worden gestimuleerd.</w:t>
      </w:r>
    </w:p>
    <w:p w14:paraId="57C9BD8A" w14:textId="4CE54EDD" w:rsidR="005A0FD9" w:rsidRPr="00417398" w:rsidRDefault="005A0FD9" w:rsidP="006D422E">
      <w:pPr>
        <w:pStyle w:val="SingleTxtG"/>
        <w:numPr>
          <w:ilvl w:val="0"/>
          <w:numId w:val="16"/>
        </w:numPr>
        <w:rPr>
          <w:noProof/>
        </w:rPr>
      </w:pPr>
      <w:r>
        <w:rPr>
          <w:b/>
        </w:rPr>
        <w:t>Vormen van geweld - een overzicht</w:t>
      </w:r>
      <w:r>
        <w:t xml:space="preserve"> De volgende niet-uitputtende opsommingen van vormen van geweld gelden voor alle kinderen in alle contexten en in de overgang van de ene context naar de andere. Kinderen kunnen geweld ervaren onder de hoede van volwassenen, en ook geweld tussen kinderen komt voor. Voorts kunnen kinderen zichzelf schade toebrengen. Het Comité erkent dat verschillende vormen van geweld vaak naast elkaar bestaan en dat zij de categorieën kunnen bestrijken die hier voor het gemak gebruikt worden. </w:t>
      </w:r>
      <w:r>
        <w:rPr>
          <w:shd w:val="clear" w:color="auto" w:fill="FFFFFF"/>
        </w:rPr>
        <w:t xml:space="preserve">Zowel meisjes als jongens lopen het risico op alle vormen van geweld, maar er is vaak een gendercomponent aan geweld verbonden. Meisjes kunnen bijvoorbeeld thuis meer te maken hebben met seksueel geweld dan jongens, terwijl het voor jongens waarschijnlijker is dat ze in de gevangenis terecht komen en daar met geweld te maken krijgen. (Zie ook par. </w:t>
      </w:r>
      <w:r w:rsidR="00415EE6" w:rsidRPr="00417398">
        <w:rPr>
          <w:shd w:val="clear" w:color="auto" w:fill="FFFFFF"/>
        </w:rPr>
        <w:fldChar w:fldCharType="begin"/>
      </w:r>
      <w:r w:rsidR="00415EE6" w:rsidRPr="00417398">
        <w:rPr>
          <w:shd w:val="clear" w:color="auto" w:fill="FFFFFF"/>
        </w:rPr>
        <w:instrText xml:space="preserve"> REF _Ref286833420 \r \h </w:instrText>
      </w:r>
      <w:r w:rsidR="00415EE6" w:rsidRPr="00417398">
        <w:rPr>
          <w:shd w:val="clear" w:color="auto" w:fill="FFFFFF"/>
        </w:rPr>
      </w:r>
      <w:r w:rsidR="00415EE6" w:rsidRPr="00417398">
        <w:rPr>
          <w:shd w:val="clear" w:color="auto" w:fill="FFFFFF"/>
        </w:rPr>
        <w:fldChar w:fldCharType="separate"/>
      </w:r>
      <w:r w:rsidR="00A74CCC">
        <w:rPr>
          <w:shd w:val="clear" w:color="auto" w:fill="FFFFFF"/>
        </w:rPr>
        <w:t>72</w:t>
      </w:r>
      <w:r w:rsidR="00415EE6" w:rsidRPr="00417398">
        <w:rPr>
          <w:shd w:val="clear" w:color="auto" w:fill="FFFFFF"/>
        </w:rPr>
        <w:fldChar w:fldCharType="end"/>
      </w:r>
      <w:r>
        <w:rPr>
          <w:shd w:val="clear" w:color="auto" w:fill="FFFFFF"/>
        </w:rPr>
        <w:t xml:space="preserve"> (b) over de genderdimensie van geweld).</w:t>
      </w:r>
    </w:p>
    <w:p w14:paraId="717948B9" w14:textId="77777777" w:rsidR="006D422E" w:rsidRPr="00417398" w:rsidRDefault="005A0FD9" w:rsidP="0099442D">
      <w:pPr>
        <w:pStyle w:val="SingleTxtG"/>
        <w:numPr>
          <w:ilvl w:val="0"/>
          <w:numId w:val="16"/>
        </w:numPr>
      </w:pPr>
      <w:r>
        <w:rPr>
          <w:b/>
        </w:rPr>
        <w:t>Verwaarlozing of nalatige behandeling</w:t>
      </w:r>
      <w:r>
        <w:t xml:space="preserve"> Verwaarlozing betekent dat er niet aan de lichamelijke en geestelijke behoeften van het kind voldaan wordt, ze niet tegen gevaar beschermd worden, medische zorg krijgen, hun geboorte aangegeven wordt of dat ze andere hulpverlening krijgen, terwijl degenen die verantwoordelijk zijn voor kinderzorg de middelen, kennis en toegang tot diensten hebben om daarvoor te zorgen. Hiertoe behoren: </w:t>
      </w:r>
    </w:p>
    <w:p w14:paraId="54E7C922" w14:textId="77777777" w:rsidR="0099442D" w:rsidRPr="00417398" w:rsidRDefault="00415EE6" w:rsidP="0097391D">
      <w:pPr>
        <w:pStyle w:val="SingleTxtG"/>
        <w:ind w:firstLine="567"/>
      </w:pPr>
      <w:r>
        <w:t>(a)</w:t>
      </w:r>
      <w:r>
        <w:tab/>
        <w:t>Lichamelijke verwaarlozing: het niet beschermen van een kind tegen letsel,</w:t>
      </w:r>
      <w:r w:rsidR="005A0FD9" w:rsidRPr="00417398">
        <w:rPr>
          <w:rStyle w:val="FootnoteReference"/>
          <w:sz w:val="20"/>
        </w:rPr>
        <w:footnoteReference w:id="7"/>
      </w:r>
      <w:r>
        <w:t xml:space="preserve"> bijvoorbeeld door een gebrek aan toezicht; of het kind niet voorzien van de eerste levensbehoeften zoals voldoende voedsel, onderdak, kleding en basale medische verzorging; </w:t>
      </w:r>
    </w:p>
    <w:p w14:paraId="5B1BF4CB" w14:textId="77777777" w:rsidR="0099442D" w:rsidRPr="00417398" w:rsidRDefault="00415EE6" w:rsidP="0097391D">
      <w:pPr>
        <w:pStyle w:val="SingleTxtG"/>
        <w:ind w:firstLine="567"/>
      </w:pPr>
      <w:r>
        <w:lastRenderedPageBreak/>
        <w:t>(b)</w:t>
      </w:r>
      <w:r>
        <w:tab/>
        <w:t xml:space="preserve">Geestelijke of emotionele verwaarlozing: ook een gebrek aan emotionele ondersteuning en liefde, een chronisch gebrek aan aandacht voor het kind, verzorgers die “er geestelijk niet zijn voor het kind” door signalen en aanwijzingen van jonge kinderen te negeren, en intiem partnergeweld, drugs- of alcoholmisbruik in het bijzijn van kinderen; </w:t>
      </w:r>
    </w:p>
    <w:p w14:paraId="5A8AE89C" w14:textId="77777777" w:rsidR="0097391D" w:rsidRPr="00417398" w:rsidRDefault="00415EE6" w:rsidP="0097391D">
      <w:pPr>
        <w:pStyle w:val="SingleTxtG"/>
        <w:ind w:firstLine="567"/>
      </w:pPr>
      <w:r>
        <w:t>(c)</w:t>
      </w:r>
      <w:r>
        <w:tab/>
        <w:t xml:space="preserve">Verwaarlozing van de lichamelijke of geestelijke gezondheid van kinderen: het onthouden van essentiële medische zorg; </w:t>
      </w:r>
    </w:p>
    <w:p w14:paraId="1E0A92D9" w14:textId="77777777" w:rsidR="0097391D" w:rsidRPr="00417398" w:rsidRDefault="00415EE6" w:rsidP="0097391D">
      <w:pPr>
        <w:pStyle w:val="SingleTxtG"/>
        <w:ind w:firstLine="567"/>
      </w:pPr>
      <w:r>
        <w:t>(d)</w:t>
      </w:r>
      <w:r>
        <w:tab/>
        <w:t xml:space="preserve">Verwaarlozing van onderwijs: niet voldoen aan de wet dat verzorgers moeten zorgen voor onderwijs aan hun kinderen door ze naar school te laten gaan of anderszins onderwijs te volgen; en </w:t>
      </w:r>
    </w:p>
    <w:p w14:paraId="16B05112" w14:textId="77777777" w:rsidR="005A0FD9" w:rsidRPr="00417398" w:rsidRDefault="00415EE6" w:rsidP="00666605">
      <w:pPr>
        <w:pStyle w:val="SingleTxtG"/>
        <w:ind w:firstLine="567"/>
      </w:pPr>
      <w:r>
        <w:t>(e)</w:t>
      </w:r>
      <w:r>
        <w:tab/>
        <w:t>Achterlating: een uiterst zorgwekkende praktijk die verhoudingsgewijs o.a. veel kinderen van ongehuwde moeders en kinderen met een handicap in sommige samenlevingen overkomt.</w:t>
      </w:r>
      <w:r w:rsidR="005A0FD9" w:rsidRPr="00417398">
        <w:rPr>
          <w:rStyle w:val="FootnoteReference"/>
          <w:sz w:val="20"/>
        </w:rPr>
        <w:footnoteReference w:id="8"/>
      </w:r>
      <w:r>
        <w:t xml:space="preserve"> </w:t>
      </w:r>
    </w:p>
    <w:p w14:paraId="0522E8E6" w14:textId="77777777" w:rsidR="00E800E7" w:rsidRPr="00417398" w:rsidRDefault="005A0FD9" w:rsidP="006D422E">
      <w:pPr>
        <w:pStyle w:val="SingleTxtG"/>
        <w:numPr>
          <w:ilvl w:val="0"/>
          <w:numId w:val="16"/>
        </w:numPr>
        <w:rPr>
          <w:noProof/>
        </w:rPr>
      </w:pPr>
      <w:r>
        <w:rPr>
          <w:b/>
        </w:rPr>
        <w:t>Geestelijk geweld</w:t>
      </w:r>
      <w:r>
        <w:rPr>
          <w:rStyle w:val="Strong"/>
        </w:rPr>
        <w:t xml:space="preserve">. </w:t>
      </w:r>
      <w:r>
        <w:rPr>
          <w:rStyle w:val="Strong"/>
          <w:b w:val="0"/>
        </w:rPr>
        <w:t>“</w:t>
      </w:r>
      <w:r>
        <w:t xml:space="preserve">Geestelijk geweld”, zoals het genoemd wordt in het Verdrag, wordt vaak omschreven als psychologische mishandeling, geestelijke mishandeling, verbale mishandeling, emotionele mishandeling of verwaarlozing en hiertoe kunnen behoren: </w:t>
      </w:r>
    </w:p>
    <w:p w14:paraId="274D6C5D" w14:textId="77777777" w:rsidR="00E800E7" w:rsidRPr="00417398" w:rsidRDefault="00E337A9" w:rsidP="00E800E7">
      <w:pPr>
        <w:pStyle w:val="SingleTxtG"/>
        <w:ind w:firstLine="567"/>
        <w:rPr>
          <w:noProof/>
        </w:rPr>
      </w:pPr>
      <w:r>
        <w:t>(a)</w:t>
      </w:r>
      <w:r>
        <w:tab/>
        <w:t xml:space="preserve">Alle vormen van voortdurende schadelijke interacties met het kind, bijvoorbeeld door kinderen te laten weten dat ze niets waard zijn, er niet van ze gehouden wordt, ze niet gewild zijn, in gevaar zijn of alleen van waarde zijn omdat ze in de behoefte van een ander voorzien; </w:t>
      </w:r>
    </w:p>
    <w:p w14:paraId="6042F716" w14:textId="77777777" w:rsidR="00E800E7" w:rsidRPr="00417398" w:rsidRDefault="00E337A9" w:rsidP="00E800E7">
      <w:pPr>
        <w:pStyle w:val="SingleTxtG"/>
        <w:ind w:firstLine="567"/>
        <w:rPr>
          <w:noProof/>
        </w:rPr>
      </w:pPr>
      <w:r>
        <w:t>(b)</w:t>
      </w:r>
      <w:r>
        <w:tab/>
        <w:t xml:space="preserve">Bangmakerij, terroriseren en bedreigen; uitbuiten en omkopen; afwijzen en verstoten; isoleren, negeren en voortrekken; </w:t>
      </w:r>
    </w:p>
    <w:p w14:paraId="040DF5E4" w14:textId="77777777" w:rsidR="00E800E7" w:rsidRPr="00417398" w:rsidRDefault="00E337A9" w:rsidP="00E800E7">
      <w:pPr>
        <w:pStyle w:val="SingleTxtG"/>
        <w:ind w:firstLine="567"/>
        <w:rPr>
          <w:noProof/>
        </w:rPr>
      </w:pPr>
      <w:r>
        <w:t>(c)</w:t>
      </w:r>
      <w:r>
        <w:tab/>
        <w:t xml:space="preserve">Emotionele aanspreekbaarheid ontzeggen; verwaarlozing van de behoeften op het gebied van de geestelijke gezondheid, medische en educatieve behoeften; </w:t>
      </w:r>
    </w:p>
    <w:p w14:paraId="269ED8B6" w14:textId="77777777" w:rsidR="005A0FD9" w:rsidRPr="00417398" w:rsidRDefault="00E337A9" w:rsidP="00E800E7">
      <w:pPr>
        <w:pStyle w:val="SingleTxtG"/>
        <w:ind w:firstLine="567"/>
        <w:rPr>
          <w:noProof/>
        </w:rPr>
      </w:pPr>
      <w:r>
        <w:t>(d)</w:t>
      </w:r>
      <w:r>
        <w:tab/>
        <w:t>Een kind beledigen, uitschelden, vernederen, kleineren, belachelijk maken en zijn/haar gevoelens kwetsen;</w:t>
      </w:r>
    </w:p>
    <w:p w14:paraId="36EC9064" w14:textId="77777777" w:rsidR="00EA3502" w:rsidRPr="00417398" w:rsidRDefault="00E337A9" w:rsidP="00E800E7">
      <w:pPr>
        <w:pStyle w:val="SingleTxtG"/>
        <w:ind w:firstLine="567"/>
        <w:rPr>
          <w:noProof/>
        </w:rPr>
      </w:pPr>
      <w:r>
        <w:t>(e)</w:t>
      </w:r>
      <w:r>
        <w:tab/>
        <w:t xml:space="preserve">Blootstelling aan huiselijk geweld: </w:t>
      </w:r>
    </w:p>
    <w:p w14:paraId="2C6C10BD" w14:textId="77777777" w:rsidR="00E800E7" w:rsidRPr="00417398" w:rsidRDefault="00E337A9" w:rsidP="00EA3502">
      <w:pPr>
        <w:pStyle w:val="SingleTxtG"/>
        <w:ind w:firstLine="567"/>
        <w:rPr>
          <w:noProof/>
        </w:rPr>
      </w:pPr>
      <w:r>
        <w:t>(f)</w:t>
      </w:r>
      <w:r>
        <w:tab/>
        <w:t xml:space="preserve">In eenzame opsluiting of de isoleercel plaatsen, of gevangenzetten onder vernederende omstandigheden; en </w:t>
      </w:r>
    </w:p>
    <w:p w14:paraId="48CAF648" w14:textId="6CFB85FA" w:rsidR="005A0FD9" w:rsidRPr="00417398" w:rsidRDefault="00E337A9" w:rsidP="00E800E7">
      <w:pPr>
        <w:pStyle w:val="SingleTxtG"/>
        <w:ind w:firstLine="567"/>
      </w:pPr>
      <w:r>
        <w:t>(g)</w:t>
      </w:r>
      <w:r>
        <w:tab/>
        <w:t>Pesten en koeioneren</w:t>
      </w:r>
      <w:r w:rsidR="005A0FD9" w:rsidRPr="00417398">
        <w:rPr>
          <w:rStyle w:val="FootnoteReference"/>
          <w:noProof/>
        </w:rPr>
        <w:footnoteReference w:id="9"/>
      </w:r>
      <w:r>
        <w:t xml:space="preserve"> door volwassenen of andere kinderen, ook via informatie- en communicatietechnologie (ICT) zoals mobiele telefoons en internet (ook “cyberpesten”</w:t>
      </w:r>
      <w:r w:rsidR="00A74CCC">
        <w:t xml:space="preserve"> </w:t>
      </w:r>
      <w:r>
        <w:t xml:space="preserve">genoemd). </w:t>
      </w:r>
    </w:p>
    <w:p w14:paraId="2D56F6E8" w14:textId="77777777" w:rsidR="00691E14" w:rsidRPr="00417398" w:rsidRDefault="005A0FD9" w:rsidP="00691E14">
      <w:pPr>
        <w:pStyle w:val="SingleTxtG"/>
        <w:numPr>
          <w:ilvl w:val="0"/>
          <w:numId w:val="16"/>
        </w:numPr>
        <w:rPr>
          <w:noProof/>
        </w:rPr>
      </w:pPr>
      <w:r>
        <w:rPr>
          <w:b/>
        </w:rPr>
        <w:t>Lichamelijk geweld</w:t>
      </w:r>
      <w:r>
        <w:t xml:space="preserve"> Hiertoe behoren dodelijk en niet-dodelijk lichamelijk geweld. Het Comité is van mening dat onder lichamelijk geweld moet worden gerekend: </w:t>
      </w:r>
    </w:p>
    <w:p w14:paraId="7C4AF872" w14:textId="77777777" w:rsidR="00691E14" w:rsidRPr="00417398" w:rsidRDefault="00F974F3" w:rsidP="00691E14">
      <w:pPr>
        <w:pStyle w:val="SingleTxtG"/>
        <w:ind w:firstLine="567"/>
        <w:rPr>
          <w:noProof/>
        </w:rPr>
      </w:pPr>
      <w:r>
        <w:t>(a)</w:t>
      </w:r>
      <w:r>
        <w:tab/>
        <w:t xml:space="preserve">Alle lijfstraffen en alle andere vormen van marteling, wrede, onmenselijke of vernederende behandeling of bestraffing; en </w:t>
      </w:r>
    </w:p>
    <w:p w14:paraId="632A2945" w14:textId="77777777" w:rsidR="00B43FF0" w:rsidRPr="00417398" w:rsidRDefault="00F974F3" w:rsidP="00B43FF0">
      <w:pPr>
        <w:pStyle w:val="SingleTxtG"/>
        <w:ind w:left="1701"/>
        <w:rPr>
          <w:noProof/>
        </w:rPr>
      </w:pPr>
      <w:r>
        <w:t>(b)</w:t>
      </w:r>
      <w:r>
        <w:tab/>
        <w:t xml:space="preserve">Lichamelijk pesten en koeioneren door volwassenen en door andere kinderen. </w:t>
      </w:r>
    </w:p>
    <w:p w14:paraId="637E1FA5" w14:textId="77777777" w:rsidR="00B43FF0" w:rsidRPr="00417398" w:rsidRDefault="005A0FD9" w:rsidP="00B43FF0">
      <w:pPr>
        <w:pStyle w:val="SingleTxtG"/>
        <w:numPr>
          <w:ilvl w:val="0"/>
          <w:numId w:val="16"/>
        </w:numPr>
        <w:rPr>
          <w:noProof/>
        </w:rPr>
      </w:pPr>
      <w:r>
        <w:lastRenderedPageBreak/>
        <w:t xml:space="preserve">Kinderen met een handicap kunnen het onderwerp zijn van bijzondere vormen van lichamelijk geweld zoals: </w:t>
      </w:r>
    </w:p>
    <w:p w14:paraId="7890E623" w14:textId="77777777" w:rsidR="00B43FF0" w:rsidRPr="00417398" w:rsidRDefault="00F974F3" w:rsidP="00B43FF0">
      <w:pPr>
        <w:pStyle w:val="SingleTxtG"/>
        <w:ind w:firstLine="567"/>
        <w:rPr>
          <w:noProof/>
        </w:rPr>
      </w:pPr>
      <w:r>
        <w:t>(a)</w:t>
      </w:r>
      <w:r>
        <w:tab/>
        <w:t xml:space="preserve">Gedwongen sterilisatie, vooral meisjes; </w:t>
      </w:r>
    </w:p>
    <w:p w14:paraId="69D9CDD0" w14:textId="77777777" w:rsidR="00B43FF0" w:rsidRPr="00417398" w:rsidRDefault="00F974F3" w:rsidP="00B43FF0">
      <w:pPr>
        <w:pStyle w:val="SingleTxtG"/>
        <w:ind w:firstLine="567"/>
        <w:rPr>
          <w:noProof/>
        </w:rPr>
      </w:pPr>
      <w:r>
        <w:t>(b)</w:t>
      </w:r>
      <w:r>
        <w:tab/>
        <w:t xml:space="preserve">Geweld in de vorm van een behandeling (bijvoorbeeld elektroconvulsietherapie (ECT) en elektrische schokken als aversietherapie om het gedrag van kinderen onder controle te houden); en </w:t>
      </w:r>
    </w:p>
    <w:p w14:paraId="63B9A390" w14:textId="77777777" w:rsidR="005A0FD9" w:rsidRPr="00417398" w:rsidRDefault="00F974F3" w:rsidP="00B43FF0">
      <w:pPr>
        <w:pStyle w:val="SingleTxtG"/>
        <w:ind w:firstLine="567"/>
        <w:rPr>
          <w:noProof/>
        </w:rPr>
      </w:pPr>
      <w:r>
        <w:t>(c)</w:t>
      </w:r>
      <w:r>
        <w:tab/>
        <w:t>Het opzettelijk toebrengen van een handicap bij kinderen om ze uit te buiten als bedelaars op straat of elders.</w:t>
      </w:r>
    </w:p>
    <w:p w14:paraId="63C4C6F1" w14:textId="77777777" w:rsidR="005A0FD9" w:rsidRPr="00417398" w:rsidRDefault="005A0FD9" w:rsidP="00B43FF0">
      <w:pPr>
        <w:pStyle w:val="SingleTxtG"/>
        <w:numPr>
          <w:ilvl w:val="0"/>
          <w:numId w:val="16"/>
        </w:numPr>
        <w:rPr>
          <w:noProof/>
        </w:rPr>
      </w:pPr>
      <w:r>
        <w:rPr>
          <w:b/>
        </w:rPr>
        <w:t>Lijfstraf.</w:t>
      </w:r>
      <w:r>
        <w:t xml:space="preserve"> In General Comment nr. 8 (par.) 11) heeft de Commissie “lichamelijke straffen”of “lijfstraffen” omschreven als straffen waarbij lichamelijk geweld wordt gebruikt en die bedoeld zijn om een mate van pijn of ongemak, hoe licht ook, toe te brengen. Meestal gaat het om het slaan (“een oorvijg geven”, “een klap geven”, “een pak slaag geven”) van kinderen, met de hand of met een hulpmiddel - een zweep, stok, riem, schoen, houten lepel, enz. Maar het kan bijvoorbeeld ook gaan om het schoppen, schudden of gooien van kinderen, krabben, knijpen, bijten, aan de haren trekken of een draai om de oren geven, het dwingen van kinderen in een ongemakkelijke houding te blijven, te verbranden, met heet water te overgieten of dwingen te eten. Naar de mening van het Comité zijn lijfstraffen altijd een vernedering. Andere specifieke vormen van lijfstraf worden genoemd in het rapport van de onafhankelijke deskundige voor het onderzoek van de Verenigde Naties naar geweld tegen kinderen (A/61/299), par. 56, 60 en 62. </w:t>
      </w:r>
    </w:p>
    <w:p w14:paraId="0F110084" w14:textId="77777777" w:rsidR="00BE26CA" w:rsidRPr="00417398" w:rsidRDefault="005A0FD9" w:rsidP="00803A43">
      <w:pPr>
        <w:pStyle w:val="SingleTxtG"/>
        <w:numPr>
          <w:ilvl w:val="0"/>
          <w:numId w:val="16"/>
        </w:numPr>
        <w:rPr>
          <w:noProof/>
        </w:rPr>
      </w:pPr>
      <w:r>
        <w:rPr>
          <w:b/>
        </w:rPr>
        <w:t>Seksueel misbruik en uitbuiting</w:t>
      </w:r>
      <w:r>
        <w:t xml:space="preserve"> Onder seksueel misbruik en uitbuiting vallen: </w:t>
      </w:r>
    </w:p>
    <w:p w14:paraId="1A4D9030" w14:textId="77777777" w:rsidR="00B43FF0" w:rsidRPr="00417398" w:rsidRDefault="00BE26CA" w:rsidP="00BE26CA">
      <w:pPr>
        <w:pStyle w:val="SingleTxtG"/>
        <w:ind w:firstLine="552"/>
        <w:rPr>
          <w:noProof/>
        </w:rPr>
      </w:pPr>
      <w:r>
        <w:t>(a)</w:t>
      </w:r>
      <w:r>
        <w:tab/>
        <w:t>De aansporing of dwang van een kind om deel te nemen aan een onwettige of geestelijk schadelijke seksuele activiteit;</w:t>
      </w:r>
      <w:r w:rsidR="005A0FD9" w:rsidRPr="00417398">
        <w:rPr>
          <w:rStyle w:val="FootnoteReference"/>
          <w:noProof/>
          <w:lang w:eastAsia="en-GB"/>
        </w:rPr>
        <w:footnoteReference w:id="10"/>
      </w:r>
    </w:p>
    <w:p w14:paraId="2CA138D0" w14:textId="77777777" w:rsidR="005E15A5" w:rsidRPr="00417398" w:rsidRDefault="00BE26CA" w:rsidP="005E15A5">
      <w:pPr>
        <w:pStyle w:val="SingleTxtG"/>
        <w:ind w:firstLine="555"/>
        <w:rPr>
          <w:noProof/>
        </w:rPr>
      </w:pPr>
      <w:r>
        <w:t xml:space="preserve"> (b)</w:t>
      </w:r>
      <w:r>
        <w:tab/>
        <w:t xml:space="preserve">Het gebruik van kinderen voor commerciële seksuele uitbuiting; en </w:t>
      </w:r>
    </w:p>
    <w:p w14:paraId="400D3FF4" w14:textId="77777777" w:rsidR="00CE60A5" w:rsidRDefault="00BE26CA" w:rsidP="00511F60">
      <w:pPr>
        <w:pStyle w:val="SingleTxtG"/>
        <w:ind w:firstLine="555"/>
        <w:rPr>
          <w:noProof/>
        </w:rPr>
      </w:pPr>
      <w:r>
        <w:t>(c)</w:t>
      </w:r>
      <w:r>
        <w:tab/>
        <w:t xml:space="preserve">Het gebruik van kinderen in audio- of visuele beelden van seksueel misbruik van kinderen; </w:t>
      </w:r>
    </w:p>
    <w:p w14:paraId="575B5CEA" w14:textId="77777777" w:rsidR="005A0FD9" w:rsidRPr="00417398" w:rsidRDefault="00CE60A5" w:rsidP="00511F60">
      <w:pPr>
        <w:pStyle w:val="SingleTxtG"/>
        <w:ind w:firstLine="555"/>
        <w:rPr>
          <w:noProof/>
        </w:rPr>
      </w:pPr>
      <w:r>
        <w:t>(d)</w:t>
      </w:r>
      <w:r>
        <w:tab/>
        <w:t>Kinderprostitutie, seksuele slavernij, seksuele uitbuiting bij toerisme en reizen, mensenhandel (in en tussen landen) en de verkoop van kinderen voor seksuele doeleinden en gedwongen huwelijken. Veel kinderen worden het slachtoffer van seksueel misbruik zonder lichamelijk geweld of onderdrukking, maar dat niettemin psychologisch schadelijk, van uitbuitende aard en traumatisch is.</w:t>
      </w:r>
    </w:p>
    <w:p w14:paraId="67085EB6" w14:textId="77777777" w:rsidR="005A0FD9" w:rsidRPr="00417398" w:rsidRDefault="005A0FD9" w:rsidP="005E15A5">
      <w:pPr>
        <w:pStyle w:val="SingleTxtG"/>
        <w:numPr>
          <w:ilvl w:val="0"/>
          <w:numId w:val="16"/>
        </w:numPr>
      </w:pPr>
      <w:r>
        <w:rPr>
          <w:b/>
        </w:rPr>
        <w:t>Marteling en onmenselijk of vernederende behandeling of bestraffing</w:t>
      </w:r>
      <w:r>
        <w:t xml:space="preserve"> Dit omvat geweld in al zijn vormen tegen kinderen om een bekentenis te verkrijgen, kinderen buitengerechtelijk te straffen voor onwettig of ongewenst gedrag, of om kinderen te dwingen activiteiten te ondernemen tegen hun wil, meestal toegepast door politie en wetshandhavers, personeel van tehuizen en andere instellingen en personen die de macht over kinderen hebben, inclusief niet-statelijke gewapende actoren. De slachtoffers zijn vaak kinderen die worden gemarginaliseerd, benadeeld en gediscrimineerd en die de bescherming ontberen van volwassenen die verantwoordelijk zijn voor de verdediging van hun rechten en belangen. Hieronder vallen ook kinderen in aanraking met justitie, kinderen die op straat leven, </w:t>
      </w:r>
      <w:r>
        <w:lastRenderedPageBreak/>
        <w:t>kinderen van minderheden, inheemse kinderen en alleenstaande kinderen. De gruwelijkheid van dergelijke daden leidt vaak tot levenslange fysieke en geestelijke schade en sociale stress.</w:t>
      </w:r>
    </w:p>
    <w:p w14:paraId="472666ED" w14:textId="77777777" w:rsidR="005A0FD9" w:rsidRPr="00417398" w:rsidRDefault="005A0FD9" w:rsidP="005E15A5">
      <w:pPr>
        <w:pStyle w:val="SingleTxtG"/>
        <w:numPr>
          <w:ilvl w:val="0"/>
          <w:numId w:val="16"/>
        </w:numPr>
        <w:rPr>
          <w:noProof/>
          <w:color w:val="000000"/>
        </w:rPr>
      </w:pPr>
      <w:r>
        <w:rPr>
          <w:b/>
        </w:rPr>
        <w:t>Geweld onder kinderen</w:t>
      </w:r>
      <w:r>
        <w:t xml:space="preserve"> Hieronder vallen lichamelijk, geestelijk en seksueel geweld, vaak door pesten, uitgeoefend door kinderen tegen andere kinderen, vaak door groepen van kinderen, hetgeen niet alleen direct de lichamelijke en geestelijke integriteit en het welzijn van een kind schaadt, maar vaak op middellange en lange termijn een grote invloed heeft op zijn of haar ontwikkeling, scholing en sociale integratie.</w:t>
      </w:r>
      <w:r>
        <w:rPr>
          <w:shd w:val="clear" w:color="auto" w:fill="FFFFFF"/>
        </w:rPr>
        <w:t xml:space="preserve"> Ook geweld door jeugdbendes is zeer ingrijpend in het leven van een kind, of het nu als slachtoffer of deelnemer is. Alhoewel kinderen de actoren zijn, is de rol van de volwassenen die verantwoordelijk zijn voor deze kinderen cruciaal bij alle pogingen op de juiste manier op dergelijk geweld te reageren en het te voorkomen, door ervoor te zorgen dat maatregelen het geweld niet verergeren door een bestraffende aanpak en de inzet van geweld tegen geweld.</w:t>
      </w:r>
    </w:p>
    <w:p w14:paraId="274760C6" w14:textId="51095A68" w:rsidR="005A0FD9" w:rsidRPr="00417398" w:rsidRDefault="005A0FD9" w:rsidP="005E15A5">
      <w:pPr>
        <w:pStyle w:val="SingleTxtG"/>
        <w:numPr>
          <w:ilvl w:val="0"/>
          <w:numId w:val="16"/>
        </w:numPr>
        <w:rPr>
          <w:noProof/>
          <w:color w:val="000000"/>
        </w:rPr>
      </w:pPr>
      <w:r>
        <w:rPr>
          <w:b/>
          <w:color w:val="000000"/>
        </w:rPr>
        <w:t xml:space="preserve">Zelf-beschadiging </w:t>
      </w:r>
      <w:r>
        <w:rPr>
          <w:color w:val="000000"/>
        </w:rPr>
        <w:t>Hieronder vallen eetstoornissen, drugsgebruik en -misbruik, zelf toegebrachte verwondingen en daadwerkelijke zelfmoord. Zelfmoord onder adolescenten zijn een bijzonder punt van zorg voor het Comité.</w:t>
      </w:r>
    </w:p>
    <w:p w14:paraId="78585B20" w14:textId="77777777" w:rsidR="005E15A5" w:rsidRPr="00417398" w:rsidRDefault="005A0FD9" w:rsidP="005E15A5">
      <w:pPr>
        <w:pStyle w:val="SingleTxtG"/>
        <w:numPr>
          <w:ilvl w:val="0"/>
          <w:numId w:val="16"/>
        </w:numPr>
        <w:rPr>
          <w:noProof/>
        </w:rPr>
      </w:pPr>
      <w:r>
        <w:rPr>
          <w:b/>
        </w:rPr>
        <w:t>Schadelijke praktijken</w:t>
      </w:r>
      <w:r>
        <w:t xml:space="preserve"> Hieronder vallen onder andere: </w:t>
      </w:r>
    </w:p>
    <w:p w14:paraId="70ACDA9A" w14:textId="77777777" w:rsidR="005E15A5" w:rsidRPr="00417398" w:rsidRDefault="005F7B54" w:rsidP="005E15A5">
      <w:pPr>
        <w:pStyle w:val="SingleTxtG"/>
        <w:ind w:firstLine="567"/>
        <w:rPr>
          <w:noProof/>
        </w:rPr>
      </w:pPr>
      <w:r>
        <w:t>(a)</w:t>
      </w:r>
      <w:r>
        <w:tab/>
        <w:t xml:space="preserve">Lijfstraffen en andere wrede of vernederende vormen van straf; </w:t>
      </w:r>
    </w:p>
    <w:p w14:paraId="324B2914" w14:textId="77777777" w:rsidR="005E15A5" w:rsidRPr="00417398" w:rsidRDefault="005F7B54" w:rsidP="005E15A5">
      <w:pPr>
        <w:pStyle w:val="SingleTxtG"/>
        <w:ind w:firstLine="567"/>
        <w:rPr>
          <w:noProof/>
        </w:rPr>
      </w:pPr>
      <w:r>
        <w:t>(b)</w:t>
      </w:r>
      <w:r>
        <w:tab/>
        <w:t xml:space="preserve">Vrouwelijke genitale verminking; </w:t>
      </w:r>
    </w:p>
    <w:p w14:paraId="0873A3BC" w14:textId="77777777" w:rsidR="005E15A5" w:rsidRPr="00417398" w:rsidRDefault="005F7B54" w:rsidP="005E15A5">
      <w:pPr>
        <w:pStyle w:val="SingleTxtG"/>
        <w:ind w:firstLine="567"/>
        <w:rPr>
          <w:noProof/>
        </w:rPr>
      </w:pPr>
      <w:r>
        <w:t>(c)</w:t>
      </w:r>
      <w:r>
        <w:tab/>
        <w:t xml:space="preserve">Amputaties, inbinden, littekens of brandwonden veroorzaken, brandmerken; </w:t>
      </w:r>
    </w:p>
    <w:p w14:paraId="575D1101" w14:textId="77777777" w:rsidR="005E15A5" w:rsidRPr="00417398" w:rsidRDefault="005F7B54" w:rsidP="005E15A5">
      <w:pPr>
        <w:pStyle w:val="SingleTxtG"/>
        <w:ind w:firstLine="567"/>
        <w:rPr>
          <w:noProof/>
        </w:rPr>
      </w:pPr>
      <w:r>
        <w:t>(d)</w:t>
      </w:r>
      <w:r>
        <w:tab/>
        <w:t xml:space="preserve">Gewelddadige en vernederende inwijdingsrituelen; dwangvoeding van meisjes; vetmesten; maagdelijkheid testen (het inspecteren van de genitalia van meisjes); </w:t>
      </w:r>
    </w:p>
    <w:p w14:paraId="28622590" w14:textId="77777777" w:rsidR="005E15A5" w:rsidRPr="00417398" w:rsidRDefault="005F7B54" w:rsidP="005E15A5">
      <w:pPr>
        <w:pStyle w:val="SingleTxtG"/>
        <w:ind w:firstLine="567"/>
        <w:rPr>
          <w:noProof/>
        </w:rPr>
      </w:pPr>
      <w:r>
        <w:t>(e)</w:t>
      </w:r>
      <w:r>
        <w:tab/>
        <w:t xml:space="preserve">Gedwongen huwelijken en huwelijken op jonge leeftijd; </w:t>
      </w:r>
    </w:p>
    <w:p w14:paraId="5847C2C1" w14:textId="77777777" w:rsidR="005E15A5" w:rsidRPr="00417398" w:rsidRDefault="005F7B54" w:rsidP="005E15A5">
      <w:pPr>
        <w:pStyle w:val="SingleTxtG"/>
        <w:ind w:firstLine="567"/>
        <w:rPr>
          <w:noProof/>
        </w:rPr>
      </w:pPr>
      <w:r>
        <w:t>(f)</w:t>
      </w:r>
      <w:r>
        <w:tab/>
        <w:t xml:space="preserve">Eerwraakdelicten; vergeldingsdaden (waarbij geschillen tussen verschillende groepen op kinderen van de betrokken partijen worden gebotvierd); dood en geweld in verband met een bruidsschat; </w:t>
      </w:r>
    </w:p>
    <w:p w14:paraId="54073DDA" w14:textId="77777777" w:rsidR="005F7B54" w:rsidRPr="00417398" w:rsidRDefault="005F7B54" w:rsidP="00997604">
      <w:pPr>
        <w:pStyle w:val="SingleTxtG"/>
        <w:ind w:firstLine="552"/>
        <w:rPr>
          <w:noProof/>
        </w:rPr>
      </w:pPr>
      <w:r>
        <w:t>(g)</w:t>
      </w:r>
      <w:r>
        <w:tab/>
        <w:t xml:space="preserve">Beschuldigingen van hekserij en daarmee verband houdende schadelijke praktijken zoals “uitdrijving”; </w:t>
      </w:r>
    </w:p>
    <w:p w14:paraId="34DCC8EF" w14:textId="77777777" w:rsidR="005A0FD9" w:rsidRPr="00417398" w:rsidRDefault="005F7B54" w:rsidP="005959CA">
      <w:pPr>
        <w:pStyle w:val="SingleTxtG"/>
        <w:ind w:left="1701"/>
        <w:rPr>
          <w:noProof/>
          <w:color w:val="000000"/>
        </w:rPr>
      </w:pPr>
      <w:r>
        <w:t>(h)</w:t>
      </w:r>
      <w:r>
        <w:tab/>
        <w:t>Verwijdering van de huig en het uittrekken van tanden</w:t>
      </w:r>
      <w:r>
        <w:rPr>
          <w:color w:val="000000"/>
        </w:rPr>
        <w:t xml:space="preserve">. </w:t>
      </w:r>
    </w:p>
    <w:p w14:paraId="15155284" w14:textId="084FA69C" w:rsidR="005A0FD9" w:rsidRPr="00417398" w:rsidRDefault="005A0FD9" w:rsidP="006D422E">
      <w:pPr>
        <w:pStyle w:val="SingleTxtG"/>
        <w:numPr>
          <w:ilvl w:val="0"/>
          <w:numId w:val="16"/>
        </w:numPr>
        <w:rPr>
          <w:noProof/>
          <w:color w:val="000000"/>
        </w:rPr>
      </w:pPr>
      <w:r>
        <w:rPr>
          <w:b/>
          <w:color w:val="000000"/>
        </w:rPr>
        <w:t>Geweld in de massamedia</w:t>
      </w:r>
      <w:r>
        <w:rPr>
          <w:color w:val="000000"/>
        </w:rPr>
        <w:t xml:space="preserve">, met name roddelbladen en de sensatiepers, hebben de neiging om schokkende gebeurtenissen te benadrukken en als gevolg daarvan een vooringenomen en stereotiep beeld van kinderen neer te zetten, met name van kansarme kinderen of adolescenten, die vaak worden afgebeeld als gewelddadig of delinquent, alleen omdat ze zich misschien anders gedragen of kleden. Dergelijke aangewakkerde stereotypen banen de weg voor overheidsbeleid op basis van bestraffing, met inbegrip van geweld als antwoord op veronderstelde of feitelijke overtredingen van kinderen en jongeren. </w:t>
      </w:r>
    </w:p>
    <w:p w14:paraId="6E0B55B0" w14:textId="77777777" w:rsidR="005A0FD9" w:rsidRPr="00417398" w:rsidRDefault="005A0FD9" w:rsidP="005959CA">
      <w:pPr>
        <w:pStyle w:val="SingleTxtG"/>
        <w:numPr>
          <w:ilvl w:val="0"/>
          <w:numId w:val="16"/>
        </w:numPr>
        <w:rPr>
          <w:noProof/>
          <w:color w:val="000000"/>
        </w:rPr>
      </w:pPr>
      <w:r>
        <w:rPr>
          <w:b/>
          <w:color w:val="000000"/>
        </w:rPr>
        <w:t>Geweld via informatie- en communicatietechnologie</w:t>
      </w:r>
      <w:r w:rsidRPr="00417398">
        <w:rPr>
          <w:rStyle w:val="FootnoteReference"/>
          <w:bCs/>
          <w:noProof/>
          <w:color w:val="000000"/>
        </w:rPr>
        <w:footnoteReference w:id="11"/>
      </w:r>
      <w:r>
        <w:rPr>
          <w:color w:val="000000"/>
        </w:rPr>
        <w:t xml:space="preserve"> Kinderbeschermingsrisco's in verband met ICT omvatten de volgende overlapppende gebieden: </w:t>
      </w:r>
    </w:p>
    <w:p w14:paraId="43E32292" w14:textId="77777777" w:rsidR="005A0FD9" w:rsidRPr="00417398" w:rsidRDefault="005A0FD9" w:rsidP="005959CA">
      <w:pPr>
        <w:pStyle w:val="SingleTxtG"/>
        <w:ind w:firstLine="567"/>
        <w:rPr>
          <w:noProof/>
        </w:rPr>
      </w:pPr>
      <w:r>
        <w:rPr>
          <w:color w:val="000000"/>
        </w:rPr>
        <w:t>(a)</w:t>
      </w:r>
      <w:r>
        <w:rPr>
          <w:color w:val="000000"/>
        </w:rPr>
        <w:tab/>
        <w:t>Met behulp van internet en andere ICT gefaciliteerd seksueel misbruik van kinderen voor de productie van visueel en audiomateriaal</w:t>
      </w:r>
      <w:r>
        <w:t xml:space="preserve">; </w:t>
      </w:r>
    </w:p>
    <w:p w14:paraId="7BB20896" w14:textId="77777777" w:rsidR="005A0FD9" w:rsidRPr="00417398" w:rsidRDefault="005959CA" w:rsidP="005959CA">
      <w:pPr>
        <w:pStyle w:val="SingleTxtG"/>
        <w:ind w:firstLine="567"/>
        <w:rPr>
          <w:noProof/>
        </w:rPr>
      </w:pPr>
      <w:r>
        <w:lastRenderedPageBreak/>
        <w:t>(b)</w:t>
      </w:r>
      <w:r>
        <w:tab/>
        <w:t xml:space="preserve">Het proces van het nemen, produceren, productie toestaan, verspreiden, vertonen, in bezit hebben of adverteren van onzedelijke foto's of pseudofoto's (“morphing”) en video's van kinderen en degenen die een schijnvertoning maken van een individueel kind of categorieën kinderen; </w:t>
      </w:r>
    </w:p>
    <w:p w14:paraId="7800629E" w14:textId="77777777" w:rsidR="005A0FD9" w:rsidRPr="00417398" w:rsidRDefault="005959CA" w:rsidP="005959CA">
      <w:pPr>
        <w:pStyle w:val="SingleTxtG"/>
        <w:ind w:firstLine="567"/>
        <w:rPr>
          <w:noProof/>
        </w:rPr>
      </w:pPr>
      <w:r>
        <w:t>(c)</w:t>
      </w:r>
      <w:r>
        <w:tab/>
        <w:t xml:space="preserve">Kinderen als gebruikers van ICT: </w:t>
      </w:r>
    </w:p>
    <w:p w14:paraId="41D4389E" w14:textId="77777777" w:rsidR="005A0FD9" w:rsidRPr="00417398" w:rsidRDefault="005F7B54" w:rsidP="005F7B54">
      <w:pPr>
        <w:pStyle w:val="SingleTxtG"/>
        <w:ind w:left="1686"/>
        <w:rPr>
          <w:noProof/>
        </w:rPr>
      </w:pPr>
      <w:r>
        <w:t>(i)</w:t>
      </w:r>
      <w:r>
        <w:tab/>
        <w:t>Als ontvangers van informatie kunnen kinderen worden blootgesteld aan daadwerkelijke of potentieel schadelijke advertenties, spam, sponsoring, persoonlijke informatie en inhoud die agressief, gewelddadig, haatdragend, bevooroordeeld, racistisch, pornografisch,</w:t>
      </w:r>
      <w:r w:rsidR="005A0FD9" w:rsidRPr="00417398">
        <w:rPr>
          <w:rStyle w:val="FootnoteReference"/>
          <w:noProof/>
        </w:rPr>
        <w:footnoteReference w:id="12"/>
      </w:r>
      <w:r>
        <w:t xml:space="preserve">, onwelkom </w:t>
      </w:r>
      <w:bookmarkStart w:id="36" w:name="_GoBack"/>
      <w:r>
        <w:t>en /</w:t>
      </w:r>
      <w:bookmarkEnd w:id="36"/>
      <w:r>
        <w:t xml:space="preserve"> of misleidend is;</w:t>
      </w:r>
    </w:p>
    <w:p w14:paraId="058CCA90" w14:textId="77777777" w:rsidR="005A0FD9" w:rsidRPr="00417398" w:rsidRDefault="005F7B54" w:rsidP="00D45597">
      <w:pPr>
        <w:pStyle w:val="SingleTxtG"/>
        <w:ind w:left="1686"/>
        <w:rPr>
          <w:noProof/>
        </w:rPr>
      </w:pPr>
      <w:r>
        <w:t>(ii)</w:t>
      </w:r>
      <w:r>
        <w:tab/>
        <w:t xml:space="preserve">Als kinderen die contact hebben met anderen via ICT, kunnen kinderen worden gepest, lastiggevallen of gestalkt (door “kinderlokkers”) en / of worden gedwongen, misleid of overgehaald om vreemden offline te ontmoeten, waarvoor ze “voorbereid” worden om te worden ingezet voor seksuele activiteiten en / of het verstrekken van persoonlijke informatie; </w:t>
      </w:r>
    </w:p>
    <w:p w14:paraId="05439C88" w14:textId="77777777" w:rsidR="005A0FD9" w:rsidRPr="00417398" w:rsidRDefault="005F7B54" w:rsidP="00D45597">
      <w:pPr>
        <w:pStyle w:val="SingleTxtG"/>
        <w:ind w:left="1686"/>
        <w:rPr>
          <w:vertAlign w:val="superscript"/>
        </w:rPr>
      </w:pPr>
      <w:r>
        <w:t>(iii)</w:t>
      </w:r>
      <w:r>
        <w:tab/>
        <w:t>Als actoren kunnen kinderen betrokken raken bij het pesten of lastig vallen van anderen, door spelletjes te spelen die hun geestelijke ontwikkeling negatief beïnvloeden, door ongepast seksueel materiaal te maken en te uploaden, misleidende informatie of advies te verstrekken en / of illegaal te downloaden, te hacken, gokken, deel te nemen aan financiële zwendel en / of terrorisme.</w:t>
      </w:r>
      <w:r w:rsidR="005A0FD9" w:rsidRPr="00417398">
        <w:rPr>
          <w:rStyle w:val="FootnoteReference"/>
          <w:noProof/>
          <w:color w:val="000000"/>
        </w:rPr>
        <w:footnoteReference w:id="13"/>
      </w:r>
    </w:p>
    <w:p w14:paraId="0DD8B2F3" w14:textId="77777777" w:rsidR="005A0FD9" w:rsidRPr="00417398" w:rsidRDefault="005A0FD9" w:rsidP="003F7BB7">
      <w:pPr>
        <w:pStyle w:val="SingleTxtG"/>
        <w:numPr>
          <w:ilvl w:val="0"/>
          <w:numId w:val="16"/>
        </w:numPr>
      </w:pPr>
      <w:r>
        <w:rPr>
          <w:b/>
        </w:rPr>
        <w:t>Schendingen van de rechten van kinderen door instellingen en systemen</w:t>
      </w:r>
      <w:r>
        <w:t xml:space="preserve"> Autoriteiten op alle overheidsniveaus die verantwoordelijk zijn voor de bescherming van kinderen tegen alle vormen van geweld kunnen direct of indirect schade berokkenen doordat het hen ontbreekt aan effectieve middelen om uitvoering te geven aan de verplichtingen uit hoofde van het Verdrag. Zij passen bijvoorbeeld wetgeving en andere regelgeving niet aan of herzien deze niet, voeren wetten en regels niet goed uit, verstrekken niet voldoende materiaal, technische middelen en mensen en capaciteit om geweld tegen kinderen vast te stellen, te voorkomen en er een antwoord op te hebben. Ook hebben maatregelen en programma's onvoldoende toegang tot en toezicht op de vorderingen of tekortkomingen van de activiteiten om een einde te maken aan het geweld tegen kinderen, noch middelen om die te beoordelen. Ook kunnen professionals bij het plegen van bepaalde handelingen het recht van kinderen op bevrijding van geweld misbruiken, bijvoorbeeld wanneer zij hun verantwoordelijkheden uitvoeren op een manier die de belangen, opvattingen en ontwikkelingsdoelen van het kind negeert.</w:t>
      </w:r>
    </w:p>
    <w:p w14:paraId="4D55C7D4" w14:textId="77777777" w:rsidR="005A0FD9" w:rsidRPr="00417398" w:rsidRDefault="00EA3503" w:rsidP="00EA3503">
      <w:pPr>
        <w:pStyle w:val="H23G"/>
        <w:rPr>
          <w:noProof/>
        </w:rPr>
      </w:pPr>
      <w:r>
        <w:tab/>
      </w:r>
      <w:bookmarkStart w:id="37" w:name="_Toc285723372"/>
      <w:bookmarkStart w:id="38" w:name="_Toc285724527"/>
      <w:bookmarkStart w:id="39" w:name="_Toc285724587"/>
      <w:bookmarkStart w:id="40" w:name="_Toc285724734"/>
      <w:bookmarkStart w:id="41" w:name="_Toc285724992"/>
      <w:r>
        <w:t>2.</w:t>
      </w:r>
      <w:r>
        <w:tab/>
        <w:t>“onder de hoede van ...”</w:t>
      </w:r>
      <w:bookmarkEnd w:id="37"/>
      <w:bookmarkEnd w:id="38"/>
      <w:bookmarkEnd w:id="39"/>
      <w:bookmarkEnd w:id="40"/>
      <w:bookmarkEnd w:id="41"/>
    </w:p>
    <w:p w14:paraId="6EDFE8A7" w14:textId="77777777" w:rsidR="005A0FD9" w:rsidRPr="00417398" w:rsidRDefault="005A0FD9" w:rsidP="006D422E">
      <w:pPr>
        <w:pStyle w:val="SingleTxtG"/>
        <w:numPr>
          <w:ilvl w:val="0"/>
          <w:numId w:val="16"/>
        </w:numPr>
        <w:rPr>
          <w:noProof/>
        </w:rPr>
      </w:pPr>
      <w:r>
        <w:rPr>
          <w:b/>
        </w:rPr>
        <w:t>Definitie van "verzorgers".</w:t>
      </w:r>
      <w:r>
        <w:t xml:space="preserve"> Het Comité is van oordeel dat met inachtneming van de zich ontwikkelende vermogens en voortschrijdende autonomie van het kind alle mensen jonger dan 18 jaar niettemin zijn toevertrouwd aan de zorg van iemand of dat zouden moeten </w:t>
      </w:r>
      <w:r>
        <w:lastRenderedPageBreak/>
        <w:t>zijn. Voor kinderen gelden maar drie mogelijkheden: ze zijn mondig (niet onder voogdij)</w:t>
      </w:r>
      <w:r w:rsidRPr="00417398">
        <w:rPr>
          <w:rStyle w:val="FootnoteReference"/>
          <w:noProof/>
        </w:rPr>
        <w:footnoteReference w:id="14"/>
      </w:r>
      <w:r>
        <w:t xml:space="preserve">, toevertrouwd aan de zorg van primaire of gemachtigde verzorgers, of feitelijk toevertrouwd aan de zorg van de overheid. De definitie van “verzorgers”, zoals beschreven in artikel 19.1, als “ouder (s), wettelijke voogd(en) of enige andere persoon die de zorg voor het kind heeft”, dekt degenen met duidelijke, erkende juridische, professionele ethische en / of culturele verantwoordelijkheid voor de veiligheid, gezondheid, ontwikkeling en welzijn van het kind, voornamelijk: ouders, pleegouders, adoptieouders, verzorgers uit hoofde van de </w:t>
      </w:r>
      <w:r>
        <w:rPr>
          <w:i/>
        </w:rPr>
        <w:t>kafalah</w:t>
      </w:r>
      <w:r>
        <w:t xml:space="preserve"> in de islamitische wetgeving, voogden, grootfamilieleden en leden van de gemeenschap; onderwijs, school en huispersoneel tijdens de vroegste jeugd; door de ouders ingehuurde kinderverzorgers; vrijetijds- and sportcoaches – waaronder jeugdbegeleiders; werkgevers of chefs op het werk; en instellingspersoneel (al dan niet van overheidswege) als verzorgers </w:t>
      </w:r>
      <w:r>
        <w:noBreakHyphen/>
        <w:t xml:space="preserve"> bijvoorbeeld verantwoordelijke volwassenen in de gezondheidszorg, het jeugdgevangeniswezen en tijdelijke opvang en woonzorg. In het geval van alleenstaande kinderen is de Staat die partij is bij het Verdrag de feitelijke verzorger.</w:t>
      </w:r>
    </w:p>
    <w:p w14:paraId="1EED4A4D" w14:textId="77777777" w:rsidR="005A0FD9" w:rsidRPr="00417398" w:rsidRDefault="005A0FD9" w:rsidP="006D422E">
      <w:pPr>
        <w:pStyle w:val="SingleTxtG"/>
        <w:numPr>
          <w:ilvl w:val="0"/>
          <w:numId w:val="16"/>
        </w:numPr>
        <w:rPr>
          <w:noProof/>
        </w:rPr>
      </w:pPr>
      <w:r>
        <w:rPr>
          <w:b/>
        </w:rPr>
        <w:t>Definitie van zorgomgeving</w:t>
      </w:r>
      <w:r>
        <w:t xml:space="preserve">  Zorgomgevingen zijn plaatsen waar kinderen korte of langere tijd meerdere malen of slechts één keer verblijven onder toezicht van hun "vaste” primaire verzorger (bijv. een ouder of voogd) of een gemachtigde of "tijdelijke” verzorger (bijv. een leerkracht of jeugdleider). Kinderen wisselen vaak met grote frequentie en flexibiliteit van zorgomgeving, maar hun veiligheid bij de overgang van de ene naar de andere omgeving blijft de verantwoordelijkheid van de primaire verzorger - ofwel direct ofwel in samenspraak en samenwerking met een gemachtigde verzorger (bijv. van en naar school of tijdens het halen van water, brandstof, voedsel of voer voor dieren). Kinderen worden ook geacht “onder de hoede” van een ouder of gemachtigde verzorger te verkeren als ze fysiek onder toezicht staan binnen een zorgomgeving, zoals bijvoorbeeld tijdens het buiten spelen buiten het gezichtsveld of zonder toezicht surfen op het internet.</w:t>
      </w:r>
      <w:r>
        <w:rPr>
          <w:rStyle w:val="FootnoteReference"/>
        </w:rPr>
        <w:t xml:space="preserve"> </w:t>
      </w:r>
      <w:r>
        <w:t>Onder gebruikelijke zorgomgevingen vallen thuis, school en andere onderwijsinstellingen, kinderdagverblijven, naschoolse opvang, vrijetijds-, sport- culturele en recreatiefaciliteiten, religieuze instellingen en gebedshuizen. In medische, revalidatie- en zorginstellingen, op de werkplek en in justitiële instellingen zijn kinderen onder de hoede van professionals of overheidsactoren, die de belangen van het kind moeten respecteren en zijn of haar rechten op bescherming, welzijn en ontwikkeling moeten waarborgen. Een derde type omgeving waarin de bescherming, het welzijn en de ontwikkeling van kinderen ook moeten worden gewaarborgd, zijn buurten, gemeenschappen en kampen of nederzettingen voor vluchtelingen en mensen die zijn ontheemd door conflicten en / of natuurrampen.</w:t>
      </w:r>
      <w:r w:rsidRPr="00417398">
        <w:rPr>
          <w:rStyle w:val="FootnoteReference"/>
          <w:bCs/>
          <w:noProof/>
          <w:lang w:eastAsia="en-GB"/>
        </w:rPr>
        <w:footnoteReference w:id="15"/>
      </w:r>
    </w:p>
    <w:p w14:paraId="10483ABA" w14:textId="77777777" w:rsidR="005A0FD9" w:rsidRPr="00417398" w:rsidRDefault="005A0FD9" w:rsidP="005959CA">
      <w:pPr>
        <w:pStyle w:val="SingleTxtG"/>
        <w:numPr>
          <w:ilvl w:val="0"/>
          <w:numId w:val="16"/>
        </w:numPr>
        <w:rPr>
          <w:noProof/>
        </w:rPr>
      </w:pPr>
      <w:r>
        <w:rPr>
          <w:b/>
        </w:rPr>
        <w:t>Kinderen zonder duidelijke primaire of gemachtigde verzorgers</w:t>
      </w:r>
      <w:r>
        <w:t xml:space="preserve"> Artikel 19 is ook van toepassing op kinderen zonder een primaire of gemachtigde verzorger of iemand anders die is belast met de bescherming en het welzijn van het kind, zoals bijvoorbeeld kinderen in een huishouding waar een kind aan het hoofd staat, kinderen die op straat leven, kinderen van migrerende ouders of alleenstaande kinderen buiten het land van herkomst.</w:t>
      </w:r>
      <w:r w:rsidRPr="00417398">
        <w:rPr>
          <w:rStyle w:val="FootnoteReference"/>
          <w:noProof/>
        </w:rPr>
        <w:footnoteReference w:id="16"/>
      </w:r>
      <w:r>
        <w:t xml:space="preserve"> De Staat die partij is bij het Verdrag is verplicht verantwoordelijkheid te nemen als de feitelijke verzorger of degene die "de zorg voor het kind heeft”, zelfs als deze kinderen zich niet bevinden in de context van een fysieke zorgomgeving, zoals een pleeggezin, tehuis of ngo-</w:t>
      </w:r>
      <w:r>
        <w:lastRenderedPageBreak/>
        <w:t>faciliteit. De Staat die partij is bij het Verdrag is verplicht “dusdanige bescherming en zorg voor het kind te waarborgen als noodzakelijk is voor zijn of haar welzijn” (art. 3, lid  2) en “alternatieve zorg te waarborgen” voor “kinderen die tijdelijk of permanent de gezinsomgeving moeten missen” (art. 20). Er zijn verschillende manieren om de rechten van deze kinderen te garanderen, bijvoorbeeld in een met een gezin te vergelijken zorgomgeving, die zorgvuldig moet worden onderzocht vanwege het risico dat deze kinderen worden blootgesteld aan geweld.</w:t>
      </w:r>
    </w:p>
    <w:p w14:paraId="3E01A160" w14:textId="77777777" w:rsidR="005A0FD9" w:rsidRPr="00417398" w:rsidRDefault="005A0FD9" w:rsidP="003F7BB7">
      <w:pPr>
        <w:pStyle w:val="SingleTxtG"/>
        <w:numPr>
          <w:ilvl w:val="0"/>
          <w:numId w:val="16"/>
        </w:numPr>
        <w:rPr>
          <w:noProof/>
        </w:rPr>
      </w:pPr>
      <w:r>
        <w:rPr>
          <w:b/>
        </w:rPr>
        <w:t>Geweldplegers</w:t>
      </w:r>
      <w:r>
        <w:t xml:space="preserve"> Kinderen kunnen worden onderworpen aan geweld door primaire of gemachtigde verzorgers en/of door anderen tegen wie hun verzorger hen wel beschermt (bijvoorbeeld buren, leeftijdgenoten en vreemden). Voorts lopen kinderen het risico te worden blootgesteld aan geweld in veel omgevingen waar professionals en overheidsactoren hun macht over kinderen vaak misbruikt hebben, zoals op scholen, in tehuizen, op politiebureaus of in justitiële inrichtingen. Al deze omstandigheden vallen onder artikel 19, dat niet beperkt is tot geweld dat alleen gepleegd wordt door verzorgers in een persoonlijke context. </w:t>
      </w:r>
    </w:p>
    <w:p w14:paraId="5F98B55E" w14:textId="77777777" w:rsidR="005A0FD9" w:rsidRPr="00417398" w:rsidRDefault="00EA3503" w:rsidP="00EA3503">
      <w:pPr>
        <w:pStyle w:val="H23G"/>
        <w:rPr>
          <w:noProof/>
        </w:rPr>
      </w:pPr>
      <w:r>
        <w:tab/>
      </w:r>
      <w:bookmarkStart w:id="42" w:name="_Toc285723373"/>
      <w:bookmarkStart w:id="43" w:name="_Toc285724528"/>
      <w:bookmarkStart w:id="44" w:name="_Toc285724588"/>
      <w:bookmarkStart w:id="45" w:name="_Toc285724735"/>
      <w:bookmarkStart w:id="46" w:name="_Toc285724993"/>
      <w:r>
        <w:t>3.</w:t>
      </w:r>
      <w:r>
        <w:tab/>
        <w:t>"neemt...”</w:t>
      </w:r>
      <w:bookmarkEnd w:id="42"/>
      <w:bookmarkEnd w:id="43"/>
      <w:bookmarkEnd w:id="44"/>
      <w:bookmarkEnd w:id="45"/>
      <w:bookmarkEnd w:id="46"/>
    </w:p>
    <w:p w14:paraId="0072BAA8" w14:textId="77777777" w:rsidR="005A0FD9" w:rsidRPr="00417398" w:rsidRDefault="005A0FD9" w:rsidP="006D422E">
      <w:pPr>
        <w:pStyle w:val="SingleTxtG"/>
        <w:numPr>
          <w:ilvl w:val="0"/>
          <w:numId w:val="16"/>
        </w:numPr>
        <w:rPr>
          <w:noProof/>
        </w:rPr>
      </w:pPr>
      <w:r>
        <w:t xml:space="preserve"> "Neemt” laat geen ruimte voor een eigen beslissing van Staten die partij zijn bij het Verdrag. Aldus hebben Staten die partij zijn de strikte verplichting “alle benodigde maatregelen te nemen” om dit recht voor alle kinderen door te voeren.</w:t>
      </w:r>
    </w:p>
    <w:p w14:paraId="4C6F7AE6" w14:textId="77777777" w:rsidR="005A0FD9" w:rsidRPr="00417398" w:rsidRDefault="00FB349E" w:rsidP="000D4D30">
      <w:pPr>
        <w:pStyle w:val="H23G"/>
        <w:rPr>
          <w:noProof/>
        </w:rPr>
      </w:pPr>
      <w:r>
        <w:tab/>
      </w:r>
      <w:bookmarkStart w:id="47" w:name="_Toc285723374"/>
      <w:bookmarkStart w:id="48" w:name="_Toc285724529"/>
      <w:bookmarkStart w:id="49" w:name="_Toc285724589"/>
      <w:bookmarkStart w:id="50" w:name="_Toc285724736"/>
      <w:bookmarkStart w:id="51" w:name="_Toc285724994"/>
      <w:r>
        <w:t>4.</w:t>
      </w:r>
      <w:r>
        <w:tab/>
        <w:t>“Alle benodigde wetgevende, administratieve, sociale en onderwijsmaatregelen”</w:t>
      </w:r>
      <w:bookmarkEnd w:id="47"/>
      <w:bookmarkEnd w:id="48"/>
      <w:bookmarkEnd w:id="49"/>
      <w:bookmarkEnd w:id="50"/>
      <w:bookmarkEnd w:id="51"/>
    </w:p>
    <w:p w14:paraId="6BCAA86A" w14:textId="77777777" w:rsidR="005A0FD9" w:rsidRPr="00417398" w:rsidRDefault="005A0FD9" w:rsidP="006D422E">
      <w:pPr>
        <w:pStyle w:val="SingleTxtG"/>
        <w:numPr>
          <w:ilvl w:val="0"/>
          <w:numId w:val="16"/>
        </w:numPr>
        <w:rPr>
          <w:noProof/>
        </w:rPr>
      </w:pPr>
      <w:r>
        <w:rPr>
          <w:b/>
        </w:rPr>
        <w:t>Algemene maatregelen van tenuitvoerlegging en toezicht</w:t>
      </w:r>
      <w:r>
        <w:t xml:space="preserve"> Het Comité vestigt de aandacht van Staten die partij zij bij het Verdrag op General Comment nr. 5 (2003) over algemene maatregelen inzake de tenuitvoerlegging van het Verdrag inzake de Rechten van het Kind</w:t>
      </w:r>
      <w:r w:rsidRPr="00417398">
        <w:rPr>
          <w:rStyle w:val="FootnoteReference"/>
          <w:bCs/>
          <w:noProof/>
        </w:rPr>
        <w:footnoteReference w:id="17"/>
      </w:r>
      <w:r>
        <w:t>. De Commissie verwijst Staten die partij zijn bij het Verdrag ook naar haar algemeen commentaar nr. 2 (2002) inzake de rol van onafhankelijke nationale mensenrechtenorganisaties bij de bescherming en bevordering van de rechten van het kind. Deze invoerings- en toezichtmaatregelen zijn essentieel voor de verwezenlijking van artikel 19.</w:t>
      </w:r>
    </w:p>
    <w:p w14:paraId="58ABCE29" w14:textId="77777777" w:rsidR="005A0FD9" w:rsidRPr="00417398" w:rsidRDefault="005A0FD9" w:rsidP="006D422E">
      <w:pPr>
        <w:pStyle w:val="SingleTxtG"/>
        <w:numPr>
          <w:ilvl w:val="0"/>
          <w:numId w:val="16"/>
        </w:numPr>
        <w:rPr>
          <w:noProof/>
          <w:shd w:val="clear" w:color="auto" w:fill="FFFFFF"/>
        </w:rPr>
      </w:pPr>
      <w:r>
        <w:rPr>
          <w:b/>
        </w:rPr>
        <w:t>“Alle benodigde ... maatregelen”</w:t>
      </w:r>
      <w:r>
        <w:t xml:space="preserve"> De term </w:t>
      </w:r>
      <w:r>
        <w:rPr>
          <w:shd w:val="clear" w:color="auto" w:fill="FFFFFF"/>
        </w:rPr>
        <w:t>“benodigde” verwijst naar het brede scala aan maatregelen door alle sectoren van de overheid heen, die nodig zijn en van kracht moeten worden om alle vormen van geweld te voorkomen en er een antwoord op te hebben. "Benodigde” kan niet worden geïnterpreteerd als aanvaarding van sommige vormen van geweld.</w:t>
      </w:r>
      <w:r>
        <w:t xml:space="preserve"> Hier is een geïntegreerd, samenhangend, interdisciplinair en gecoördineerd systeem voor nodig, met daarin alle maatregelen die staan beschreven in artikel 19 lid 1 voor de hele reeks van interventies die vermeld staan in artikel 19 lid 2. Losstaande programma's en activiteiten die niet zijn geïntegreerd in duurzaam en gecoördineerd overheidsbeleid en infrastructuren zullen beperkt effect hebben. Medezeggenschap van kinderen is essentieel bij de ontwikkeling, het toezicht en de beoordeling van de hier aangegeven maatregelen.</w:t>
      </w:r>
    </w:p>
    <w:p w14:paraId="5210EB36" w14:textId="77777777" w:rsidR="005A0FD9" w:rsidRPr="00417398" w:rsidRDefault="005A0FD9" w:rsidP="006D422E">
      <w:pPr>
        <w:pStyle w:val="SingleTxtG"/>
        <w:numPr>
          <w:ilvl w:val="0"/>
          <w:numId w:val="16"/>
        </w:numPr>
        <w:rPr>
          <w:noProof/>
        </w:rPr>
      </w:pPr>
      <w:r>
        <w:t xml:space="preserve">Wetgevende maatregelen verwijzen naar zowel wetgeving met de bijbehorende begroting als de invoering en handhaving van de maatregelen. Ze omvatten nationale, provinciale en gemeentelijke wetten en alle relevante regels die kaders, systemen, mechanismen en de taken en verantwoordelijkheden van de betreffende organisaties en bevoegde ambtenaren omschrijven. </w:t>
      </w:r>
    </w:p>
    <w:p w14:paraId="6E1C5B2B" w14:textId="77777777" w:rsidR="005A0FD9" w:rsidRPr="00417398" w:rsidRDefault="005A0FD9" w:rsidP="003F7BB7">
      <w:pPr>
        <w:pStyle w:val="SingleTxtG"/>
        <w:numPr>
          <w:ilvl w:val="0"/>
          <w:numId w:val="16"/>
        </w:numPr>
        <w:rPr>
          <w:noProof/>
        </w:rPr>
      </w:pPr>
      <w:r>
        <w:t xml:space="preserve">Staten die partij zijn bij het Verdrag die dat nog niet hebben gedaan, moeten: </w:t>
      </w:r>
    </w:p>
    <w:p w14:paraId="50E277AE" w14:textId="77777777" w:rsidR="005959CA" w:rsidRPr="00417398" w:rsidRDefault="000E2D2C" w:rsidP="005959CA">
      <w:pPr>
        <w:pStyle w:val="SingleTxtG"/>
        <w:ind w:firstLine="567"/>
        <w:rPr>
          <w:noProof/>
        </w:rPr>
      </w:pPr>
      <w:r>
        <w:lastRenderedPageBreak/>
        <w:t>(a)</w:t>
      </w:r>
      <w:r>
        <w:tab/>
        <w:t xml:space="preserve">de twee Optionele Protocollen bij het Verdrag en andere internationale en regionale mensenrechtenverdragen die kinderen bescherming bieden ratificeren, waaronder het Verdrag inzake de Rechten van Personen met een Handicap en het bijbehorende Optionele Protocol en het Verdrag tegen Marteling en Andere Wrede, Onmenselijke of Vernederende Behandelingen of Straffen; </w:t>
      </w:r>
    </w:p>
    <w:p w14:paraId="1B16402E" w14:textId="77777777" w:rsidR="005959CA" w:rsidRPr="00417398" w:rsidRDefault="000E2D2C" w:rsidP="005959CA">
      <w:pPr>
        <w:pStyle w:val="SingleTxtG"/>
        <w:ind w:firstLine="567"/>
        <w:rPr>
          <w:noProof/>
        </w:rPr>
      </w:pPr>
      <w:r>
        <w:t>(b)</w:t>
      </w:r>
      <w:r>
        <w:tab/>
        <w:t xml:space="preserve">verklaringen en uitleg tegen de bedoeling en het doel van het Verdrag of anderszins in strijd met internationaal recht herzien en intrekken; </w:t>
      </w:r>
    </w:p>
    <w:p w14:paraId="3FA8E2C0" w14:textId="77777777" w:rsidR="00CB0CF1" w:rsidRPr="00417398" w:rsidRDefault="000E2D2C" w:rsidP="00CB0CF1">
      <w:pPr>
        <w:pStyle w:val="SingleTxtG"/>
        <w:ind w:firstLine="567"/>
        <w:rPr>
          <w:noProof/>
        </w:rPr>
      </w:pPr>
      <w:r>
        <w:t>(c)</w:t>
      </w:r>
      <w:r>
        <w:tab/>
        <w:t xml:space="preserve">de samenwerking versterken met verdragspartijen en andere mensenrechtenmechanismen; </w:t>
      </w:r>
    </w:p>
    <w:p w14:paraId="4D0FC8E0" w14:textId="77777777" w:rsidR="005A0FD9" w:rsidRPr="00417398" w:rsidRDefault="000E2D2C" w:rsidP="00CB0CF1">
      <w:pPr>
        <w:pStyle w:val="SingleTxtG"/>
        <w:ind w:firstLine="567"/>
        <w:rPr>
          <w:noProof/>
        </w:rPr>
      </w:pPr>
      <w:r>
        <w:t>(d)</w:t>
      </w:r>
      <w:r>
        <w:tab/>
        <w:t>nationale wetgeving herzien en aanpassen overeenkomstig artikel 19 en de invoering ervan in het holistische kader van het Verdrag met een uitgebreid beleid inzake kinderrechten en verzekeren dat alle vormen van geweld tegen kinderen in alle omgevingen wordt voorkomen, met effectieve en passende sancties tegen plegers;</w:t>
      </w:r>
      <w:r w:rsidR="005A0FD9" w:rsidRPr="00417398">
        <w:rPr>
          <w:rStyle w:val="FootnoteReference"/>
          <w:rFonts w:eastAsia="AGaramond-Regular"/>
          <w:noProof/>
        </w:rPr>
        <w:footnoteReference w:id="18"/>
      </w:r>
      <w:r>
        <w:t xml:space="preserve"> </w:t>
      </w:r>
    </w:p>
    <w:p w14:paraId="719A0D24" w14:textId="77777777" w:rsidR="00CB0CF1" w:rsidRPr="00417398" w:rsidRDefault="000E2D2C" w:rsidP="00CB0CF1">
      <w:pPr>
        <w:pStyle w:val="SingleTxtG"/>
        <w:ind w:firstLine="567"/>
        <w:rPr>
          <w:noProof/>
        </w:rPr>
      </w:pPr>
      <w:r>
        <w:t>(e)</w:t>
      </w:r>
      <w:r>
        <w:tab/>
        <w:t>voldoende budget toewijzen voor de invoering van wetgeving en alle overige maatregelen die zijn genomen om geweld tegen kinderen een halt toe te roepen;</w:t>
      </w:r>
    </w:p>
    <w:p w14:paraId="3DF72121" w14:textId="77777777" w:rsidR="00CB0CF1" w:rsidRPr="00417398" w:rsidRDefault="000E2D2C" w:rsidP="00CB0CF1">
      <w:pPr>
        <w:pStyle w:val="SingleTxtG"/>
        <w:ind w:firstLine="567"/>
        <w:rPr>
          <w:noProof/>
        </w:rPr>
      </w:pPr>
      <w:r>
        <w:t>(f)</w:t>
      </w:r>
      <w:r>
        <w:tab/>
        <w:t>ervoor zorgen dat kinderslachtoffers en kindergetuigen beschermd worden en dat er effectieve toegang is tot verhaal en herstel;</w:t>
      </w:r>
    </w:p>
    <w:p w14:paraId="4CBEBCFD" w14:textId="77777777" w:rsidR="00CB0CF1" w:rsidRPr="00417398" w:rsidRDefault="000E2D2C" w:rsidP="00CB0CF1">
      <w:pPr>
        <w:pStyle w:val="SingleTxtG"/>
        <w:ind w:firstLine="567"/>
        <w:rPr>
          <w:noProof/>
        </w:rPr>
      </w:pPr>
      <w:r>
        <w:t>(g)</w:t>
      </w:r>
      <w:r>
        <w:tab/>
        <w:t>Ervoor zorgen dat de betreffende wetgeving adequate bescherming van kinderen biedt met betrekking tot de media en ICT;</w:t>
      </w:r>
    </w:p>
    <w:p w14:paraId="4C65131F" w14:textId="77777777" w:rsidR="00CB0CF1" w:rsidRPr="00417398" w:rsidRDefault="000E2D2C" w:rsidP="00CB0CF1">
      <w:pPr>
        <w:pStyle w:val="SingleTxtG"/>
        <w:ind w:firstLine="567"/>
        <w:rPr>
          <w:noProof/>
        </w:rPr>
      </w:pPr>
      <w:r>
        <w:rPr>
          <w:shd w:val="clear" w:color="auto" w:fill="FFFFFF"/>
        </w:rPr>
        <w:t>(h)</w:t>
      </w:r>
      <w:r>
        <w:rPr>
          <w:shd w:val="clear" w:color="auto" w:fill="FFFFFF"/>
        </w:rPr>
        <w:tab/>
        <w:t xml:space="preserve">sociale programma's </w:t>
      </w:r>
      <w:r>
        <w:t xml:space="preserve">opzetten en doorvoeren </w:t>
      </w:r>
      <w:r>
        <w:rPr>
          <w:shd w:val="clear" w:color="auto" w:fill="FFFFFF"/>
        </w:rPr>
        <w:t>ter bevordering van een zo optimaal mogelijke positieve opvoeding van het kind</w:t>
      </w:r>
      <w:r>
        <w:t xml:space="preserve"> voor de noodzakelijke ondersteuning voor het kind en voor degenen die de zorg voor het kind hebben door middel van geïntegreerde diensten;</w:t>
      </w:r>
    </w:p>
    <w:p w14:paraId="5C9B649A" w14:textId="77777777" w:rsidR="00CB0CF1" w:rsidRPr="00417398" w:rsidRDefault="000E2D2C" w:rsidP="00CB0CF1">
      <w:pPr>
        <w:pStyle w:val="SingleTxtG"/>
        <w:ind w:firstLine="567"/>
        <w:rPr>
          <w:noProof/>
        </w:rPr>
      </w:pPr>
      <w:r>
        <w:t>(i)</w:t>
      </w:r>
      <w:r>
        <w:tab/>
        <w:t xml:space="preserve">de wet en gerechtelijke procedures handhaven op een kindvriendelijke manier, waaronder remedies die beschikbaar zijn voor kinderen nadat hun rechten geschonden zijn; </w:t>
      </w:r>
    </w:p>
    <w:p w14:paraId="506F47B4" w14:textId="77777777" w:rsidR="005A0FD9" w:rsidRPr="00417398" w:rsidRDefault="000E2D2C" w:rsidP="00CB0CF1">
      <w:pPr>
        <w:pStyle w:val="SingleTxtG"/>
        <w:ind w:firstLine="567"/>
        <w:rPr>
          <w:noProof/>
        </w:rPr>
      </w:pPr>
      <w:r>
        <w:t>(j)</w:t>
      </w:r>
      <w:r>
        <w:tab/>
      </w:r>
      <w:r>
        <w:rPr>
          <w:shd w:val="clear" w:color="auto" w:fill="FFFFFF"/>
        </w:rPr>
        <w:t>een onafhankelijke en nationale instelling voor kinderrechten opzetten en ondersteunen.</w:t>
      </w:r>
      <w:r>
        <w:t xml:space="preserve"> </w:t>
      </w:r>
    </w:p>
    <w:p w14:paraId="581EA379" w14:textId="77777777" w:rsidR="005A0FD9" w:rsidRPr="00417398" w:rsidRDefault="005A0FD9" w:rsidP="006D422E">
      <w:pPr>
        <w:pStyle w:val="SingleTxtG"/>
        <w:numPr>
          <w:ilvl w:val="0"/>
          <w:numId w:val="16"/>
        </w:numPr>
        <w:rPr>
          <w:noProof/>
        </w:rPr>
      </w:pPr>
      <w:bookmarkStart w:id="52" w:name="_Ref286912043"/>
      <w:r>
        <w:t>Administratieve maatregelen dienen een weergave te zijn van de verplichtingen van de overheid om beleid, programma's en systemen voor toezicht en overzicht op te zetten die nodig zijn om het kind te beschermen tegen alle vormen van geweld. Hiertoe behoren:</w:t>
      </w:r>
      <w:bookmarkEnd w:id="52"/>
      <w:r>
        <w:t xml:space="preserve"> </w:t>
      </w:r>
    </w:p>
    <w:p w14:paraId="2A72460E" w14:textId="77777777" w:rsidR="005A0FD9" w:rsidRPr="00417398" w:rsidRDefault="005A0FD9" w:rsidP="00CB0CF1">
      <w:pPr>
        <w:pStyle w:val="SingleTxtG"/>
        <w:ind w:firstLine="567"/>
        <w:rPr>
          <w:noProof/>
          <w:shd w:val="clear" w:color="auto" w:fill="FFFFFF"/>
        </w:rPr>
      </w:pPr>
      <w:r>
        <w:rPr>
          <w:shd w:val="clear" w:color="auto" w:fill="FFFFFF"/>
        </w:rPr>
        <w:t>(a)</w:t>
      </w:r>
      <w:r>
        <w:rPr>
          <w:shd w:val="clear" w:color="auto" w:fill="FFFFFF"/>
        </w:rPr>
        <w:tab/>
      </w:r>
      <w:r>
        <w:rPr>
          <w:i/>
          <w:shd w:val="clear" w:color="auto" w:fill="FFFFFF"/>
        </w:rPr>
        <w:t>Op het niveau van de landelijke en sub-landelijke overheid:</w:t>
      </w:r>
    </w:p>
    <w:p w14:paraId="7CF64C8B" w14:textId="77777777" w:rsidR="00CB0CF1" w:rsidRPr="00417398" w:rsidRDefault="0062454F" w:rsidP="0062454F">
      <w:pPr>
        <w:pStyle w:val="SingleTxtG"/>
        <w:ind w:left="1686"/>
        <w:rPr>
          <w:noProof/>
          <w:shd w:val="clear" w:color="auto" w:fill="FFFFFF"/>
        </w:rPr>
      </w:pPr>
      <w:r>
        <w:rPr>
          <w:shd w:val="clear" w:color="auto" w:fill="FFFFFF"/>
        </w:rPr>
        <w:t>(i)</w:t>
      </w:r>
      <w:r>
        <w:rPr>
          <w:shd w:val="clear" w:color="auto" w:fill="FFFFFF"/>
        </w:rPr>
        <w:tab/>
        <w:t>het opzetten van een aanspreekpunt van de overheid om kinderbeschermingsbeleid en -diensten te coördineren;</w:t>
      </w:r>
    </w:p>
    <w:p w14:paraId="0FE358F3" w14:textId="77777777" w:rsidR="00CB0CF1" w:rsidRPr="00417398" w:rsidRDefault="0062454F" w:rsidP="00E46006">
      <w:pPr>
        <w:pStyle w:val="SingleTxtG"/>
        <w:ind w:left="1686"/>
        <w:rPr>
          <w:noProof/>
          <w:shd w:val="clear" w:color="auto" w:fill="FFFFFF"/>
        </w:rPr>
      </w:pPr>
      <w:r>
        <w:rPr>
          <w:shd w:val="clear" w:color="auto" w:fill="FFFFFF"/>
        </w:rPr>
        <w:t>(ii)</w:t>
      </w:r>
      <w:r>
        <w:rPr>
          <w:shd w:val="clear" w:color="auto" w:fill="FFFFFF"/>
        </w:rPr>
        <w:tab/>
        <w:t xml:space="preserve">het vaststellen van de taken, verantwoordelijkheden en relaties tussen belanghebbenden bij stuurcommissies van organisaties onderling om de </w:t>
      </w:r>
      <w:r>
        <w:t>tenuitvoerleggingsorganen op nationaal en subnationaal niveau effectief te kunnen leiden, erop toe te kunnen zien en ze verantwoordelijk houden;</w:t>
      </w:r>
      <w:r>
        <w:rPr>
          <w:shd w:val="clear" w:color="auto" w:fill="FFFFFF"/>
        </w:rPr>
        <w:t xml:space="preserve"> </w:t>
      </w:r>
    </w:p>
    <w:p w14:paraId="1FD81DD9" w14:textId="77777777" w:rsidR="00CB0CF1" w:rsidRPr="00417398" w:rsidRDefault="0062454F" w:rsidP="00E46006">
      <w:pPr>
        <w:pStyle w:val="SingleTxtG"/>
        <w:ind w:left="1686"/>
        <w:rPr>
          <w:noProof/>
          <w:shd w:val="clear" w:color="auto" w:fill="FFFFFF"/>
        </w:rPr>
      </w:pPr>
      <w:r>
        <w:rPr>
          <w:shd w:val="clear" w:color="auto" w:fill="FFFFFF"/>
        </w:rPr>
        <w:t>(iii)</w:t>
      </w:r>
      <w:r>
        <w:rPr>
          <w:shd w:val="clear" w:color="auto" w:fill="FFFFFF"/>
        </w:rPr>
        <w:tab/>
        <w:t xml:space="preserve">ervoor zorgen dat het proces van decentralisatie van diensten hun kwaliteit, verantwoording en gelijke verdeling waarborgt; </w:t>
      </w:r>
    </w:p>
    <w:p w14:paraId="40FDD0D1" w14:textId="77777777" w:rsidR="00CB0CF1" w:rsidRPr="00417398" w:rsidRDefault="0062454F" w:rsidP="00E46006">
      <w:pPr>
        <w:pStyle w:val="SingleTxtG"/>
        <w:ind w:left="1686"/>
        <w:rPr>
          <w:noProof/>
          <w:shd w:val="clear" w:color="auto" w:fill="FFFFFF"/>
        </w:rPr>
      </w:pPr>
      <w:r>
        <w:rPr>
          <w:shd w:val="clear" w:color="auto" w:fill="FFFFFF"/>
        </w:rPr>
        <w:lastRenderedPageBreak/>
        <w:t>(iv)</w:t>
      </w:r>
      <w:r>
        <w:rPr>
          <w:shd w:val="clear" w:color="auto" w:fill="FFFFFF"/>
        </w:rPr>
        <w:tab/>
        <w:t xml:space="preserve">systematische en transparante budgetteringsprocessen invoeren om zo goed mogelijk gebruik te maken van de toegewezen middelen voor de bescherming van kinderen en voor preventie; </w:t>
      </w:r>
    </w:p>
    <w:p w14:paraId="6440CA99" w14:textId="77777777" w:rsidR="00CB0CF1" w:rsidRPr="00417398" w:rsidRDefault="0062454F" w:rsidP="00E46006">
      <w:pPr>
        <w:pStyle w:val="SingleTxtG"/>
        <w:ind w:left="1686"/>
        <w:rPr>
          <w:noProof/>
          <w:shd w:val="clear" w:color="auto" w:fill="FFFFFF"/>
        </w:rPr>
      </w:pPr>
      <w:r>
        <w:rPr>
          <w:shd w:val="clear" w:color="auto" w:fill="FFFFFF"/>
        </w:rPr>
        <w:t>(v)</w:t>
      </w:r>
      <w:r>
        <w:rPr>
          <w:shd w:val="clear" w:color="auto" w:fill="FFFFFF"/>
        </w:rPr>
        <w:tab/>
        <w:t xml:space="preserve">een uitgebreid en betrouwbaar landelijk gegevensverzamelingssysteem opzetten om te zorgen voor het systematisch toezicht houden en beoordelen van systemen (analyses van hun invloed), diensten, programma's en uitkomsten op basis van indicatoren overeenkomstig universele normen, en aangepast op en geleid door lokaal vastgestelde doelen en doelstellingen; </w:t>
      </w:r>
    </w:p>
    <w:p w14:paraId="24A94645" w14:textId="77777777" w:rsidR="00CB0CF1" w:rsidRPr="00417398" w:rsidRDefault="0062454F" w:rsidP="002D6071">
      <w:pPr>
        <w:pStyle w:val="SingleTxtG"/>
        <w:ind w:left="1686"/>
        <w:rPr>
          <w:noProof/>
        </w:rPr>
      </w:pPr>
      <w:r>
        <w:rPr>
          <w:shd w:val="clear" w:color="auto" w:fill="FFFFFF"/>
        </w:rPr>
        <w:t>(vi)</w:t>
      </w:r>
      <w:r>
        <w:rPr>
          <w:shd w:val="clear" w:color="auto" w:fill="FFFFFF"/>
        </w:rPr>
        <w:tab/>
        <w:t>Onafhankelijke landelijke mensenrechteninstellingen steunen en de vestiging van specifieke mandaten voor kinderrechten bevorderen, zoals ombudsmannen voor de rechten van kinderen, waar die nog niet bestaan.</w:t>
      </w:r>
      <w:r w:rsidR="005A0FD9" w:rsidRPr="00417398">
        <w:rPr>
          <w:rStyle w:val="FootnoteReference"/>
          <w:noProof/>
          <w:shd w:val="clear" w:color="auto" w:fill="FFFFFF"/>
        </w:rPr>
        <w:footnoteReference w:id="19"/>
      </w:r>
      <w:r>
        <w:t xml:space="preserve"> </w:t>
      </w:r>
    </w:p>
    <w:p w14:paraId="0CF9941F" w14:textId="77777777" w:rsidR="00CB0CF1" w:rsidRPr="00417398" w:rsidRDefault="005A0FD9" w:rsidP="00CB0CF1">
      <w:pPr>
        <w:pStyle w:val="SingleTxtG"/>
        <w:ind w:firstLine="567"/>
        <w:rPr>
          <w:i/>
          <w:iCs/>
          <w:noProof/>
          <w:shd w:val="clear" w:color="auto" w:fill="FFFFFF"/>
        </w:rPr>
      </w:pPr>
      <w:r>
        <w:rPr>
          <w:shd w:val="clear" w:color="auto" w:fill="FFFFFF"/>
        </w:rPr>
        <w:t>(b)</w:t>
      </w:r>
      <w:r>
        <w:rPr>
          <w:shd w:val="clear" w:color="auto" w:fill="FFFFFF"/>
        </w:rPr>
        <w:tab/>
      </w:r>
      <w:r>
        <w:rPr>
          <w:i/>
          <w:shd w:val="clear" w:color="auto" w:fill="FFFFFF"/>
        </w:rPr>
        <w:t>Op het niveau van overheids-, professionele en</w:t>
      </w:r>
      <w:r>
        <w:rPr>
          <w:shd w:val="clear" w:color="auto" w:fill="FFFFFF"/>
        </w:rPr>
        <w:t xml:space="preserve"> </w:t>
      </w:r>
      <w:r>
        <w:rPr>
          <w:i/>
          <w:iCs/>
          <w:shd w:val="clear" w:color="auto" w:fill="FFFFFF"/>
        </w:rPr>
        <w:t>maatschappelijke organisaties</w:t>
      </w:r>
    </w:p>
    <w:p w14:paraId="5DB40E93" w14:textId="77777777" w:rsidR="00FB349E" w:rsidRPr="00417398" w:rsidRDefault="00F27ABD" w:rsidP="005C549A">
      <w:pPr>
        <w:pStyle w:val="SingleTxtG"/>
        <w:ind w:left="1686"/>
        <w:rPr>
          <w:noProof/>
          <w:shd w:val="clear" w:color="auto" w:fill="FFFFFF"/>
        </w:rPr>
      </w:pPr>
      <w:r>
        <w:rPr>
          <w:iCs/>
          <w:shd w:val="clear" w:color="auto" w:fill="FFFFFF"/>
        </w:rPr>
        <w:t>(i)</w:t>
      </w:r>
      <w:r>
        <w:rPr>
          <w:i/>
          <w:iCs/>
          <w:shd w:val="clear" w:color="auto" w:fill="FFFFFF"/>
        </w:rPr>
        <w:tab/>
      </w:r>
      <w:r>
        <w:rPr>
          <w:shd w:val="clear" w:color="auto" w:fill="FFFFFF"/>
        </w:rPr>
        <w:t>ontwikkeling en invoering (door middel van groepsprocessen die eigenaarschap en duurzaamheid stimuleren):</w:t>
      </w:r>
    </w:p>
    <w:p w14:paraId="5FA008C6" w14:textId="77777777" w:rsidR="00FB349E" w:rsidRPr="00417398" w:rsidRDefault="00E82FFD" w:rsidP="00074C18">
      <w:pPr>
        <w:pStyle w:val="SingleTxtG"/>
        <w:ind w:left="1681" w:firstLine="567"/>
        <w:rPr>
          <w:noProof/>
          <w:shd w:val="clear" w:color="auto" w:fill="FFFFFF"/>
        </w:rPr>
      </w:pPr>
      <w:r>
        <w:rPr>
          <w:iCs/>
          <w:shd w:val="clear" w:color="auto" w:fill="FFFFFF"/>
        </w:rPr>
        <w:t>a.</w:t>
      </w:r>
      <w:r>
        <w:rPr>
          <w:i/>
          <w:iCs/>
          <w:shd w:val="clear" w:color="auto" w:fill="FFFFFF"/>
        </w:rPr>
        <w:tab/>
      </w:r>
      <w:r>
        <w:rPr>
          <w:shd w:val="clear" w:color="auto" w:fill="FFFFFF"/>
        </w:rPr>
        <w:t>beleid voor de bescherming van kinderen binnen organisaties en tussen organisaties onderling;</w:t>
      </w:r>
    </w:p>
    <w:p w14:paraId="197D78F0" w14:textId="77777777" w:rsidR="005A0FD9" w:rsidRPr="00417398" w:rsidRDefault="00E82FFD" w:rsidP="00074C18">
      <w:pPr>
        <w:pStyle w:val="SingleTxtG"/>
        <w:ind w:left="1686" w:firstLine="562"/>
        <w:rPr>
          <w:noProof/>
          <w:shd w:val="clear" w:color="auto" w:fill="FFFFFF"/>
        </w:rPr>
      </w:pPr>
      <w:r>
        <w:rPr>
          <w:shd w:val="clear" w:color="auto" w:fill="FFFFFF"/>
        </w:rPr>
        <w:t>b.</w:t>
      </w:r>
      <w:r>
        <w:rPr>
          <w:shd w:val="clear" w:color="auto" w:fill="FFFFFF"/>
        </w:rPr>
        <w:tab/>
        <w:t>professionele ethische gedragscodes, protocollen, memoranda van overeenstemming en normen voor de zorg voor alle kinderzorgdiensten en -omgevingen</w:t>
      </w:r>
      <w:r>
        <w:t xml:space="preserve"> (zoals kinderdagverblijven, scholen, ziekenhuizen, sportclubs en tehuizen etc.);</w:t>
      </w:r>
    </w:p>
    <w:p w14:paraId="7D953CF7" w14:textId="77777777" w:rsidR="005A0FD9" w:rsidRPr="00417398" w:rsidRDefault="00466EE1" w:rsidP="00466EE1">
      <w:pPr>
        <w:pStyle w:val="SingleTxtG"/>
        <w:ind w:left="1686"/>
        <w:rPr>
          <w:noProof/>
        </w:rPr>
      </w:pPr>
      <w:r>
        <w:t>(ii)</w:t>
      </w:r>
      <w:r>
        <w:tab/>
        <w:t>universitair onderwijs en opleidingsinstituten inschakelen met betrekking tot initiatieven voor de bescherming van kinderen;</w:t>
      </w:r>
    </w:p>
    <w:p w14:paraId="6150CF42" w14:textId="77777777" w:rsidR="005A0FD9" w:rsidRPr="00417398" w:rsidRDefault="00466EE1" w:rsidP="00466EE1">
      <w:pPr>
        <w:pStyle w:val="SingleTxtG"/>
        <w:ind w:firstLine="552"/>
        <w:rPr>
          <w:noProof/>
        </w:rPr>
      </w:pPr>
      <w:r>
        <w:t>(iii)</w:t>
      </w:r>
      <w:r>
        <w:tab/>
        <w:t>goede onderzoeksprogramma's bevorderen.</w:t>
      </w:r>
    </w:p>
    <w:p w14:paraId="742BF6CF" w14:textId="77777777" w:rsidR="005A0FD9" w:rsidRPr="00417398" w:rsidRDefault="005A0FD9" w:rsidP="006D422E">
      <w:pPr>
        <w:pStyle w:val="SingleTxtG"/>
        <w:numPr>
          <w:ilvl w:val="0"/>
          <w:numId w:val="16"/>
        </w:numPr>
        <w:rPr>
          <w:noProof/>
        </w:rPr>
      </w:pPr>
      <w:r>
        <w:t>Sociale maatregelen moeten een weerspiegeling zijn van de wil van de overheid om te voldoen aan de rechten van het kind op bescherming en te zorgen voor basisdiensten en gerichte diensten. Ze kunnen worden geïnitieerd en ingevoerd door zowel overheids- als maatschappelijke actoren die onder de verantwoordelijkheid van de Staat vallen. Tot die maatregelen behoren:</w:t>
      </w:r>
    </w:p>
    <w:p w14:paraId="55A84940" w14:textId="77777777" w:rsidR="005A0FD9" w:rsidRPr="00417398" w:rsidRDefault="005A0FD9" w:rsidP="00FB349E">
      <w:pPr>
        <w:pStyle w:val="SingleTxtG"/>
        <w:ind w:firstLine="567"/>
        <w:rPr>
          <w:shd w:val="clear" w:color="auto" w:fill="FFFFFF"/>
        </w:rPr>
      </w:pPr>
      <w:r>
        <w:rPr>
          <w:shd w:val="clear" w:color="auto" w:fill="FFFFFF"/>
        </w:rPr>
        <w:t>(a)</w:t>
      </w:r>
      <w:r>
        <w:rPr>
          <w:shd w:val="clear" w:color="auto" w:fill="FFFFFF"/>
        </w:rPr>
        <w:tab/>
      </w:r>
      <w:r>
        <w:rPr>
          <w:i/>
          <w:iCs/>
          <w:shd w:val="clear" w:color="auto" w:fill="FFFFFF"/>
        </w:rPr>
        <w:t>Sociale beleidsmaatregelen om het risico te verkleinen en geweld tegen kinderen te voorkomen, bijvoorbeeld</w:t>
      </w:r>
      <w:r>
        <w:rPr>
          <w:shd w:val="clear" w:color="auto" w:fill="FFFFFF"/>
        </w:rPr>
        <w:t>:</w:t>
      </w:r>
    </w:p>
    <w:p w14:paraId="340F0560" w14:textId="77777777" w:rsidR="005A0FD9" w:rsidRPr="00417398" w:rsidRDefault="002530D9" w:rsidP="002530D9">
      <w:pPr>
        <w:pStyle w:val="SingleTxtG"/>
        <w:ind w:left="1686"/>
        <w:rPr>
          <w:shd w:val="clear" w:color="auto" w:fill="FFFFFF"/>
        </w:rPr>
      </w:pPr>
      <w:r>
        <w:t>(i)</w:t>
      </w:r>
      <w:r>
        <w:tab/>
        <w:t>Integratie van kinderzorg en -beschermingsmaatregelen in de voornaamste systemen van sociaal beleid;</w:t>
      </w:r>
    </w:p>
    <w:p w14:paraId="3F4E07A5" w14:textId="77777777" w:rsidR="005A0FD9" w:rsidRPr="00417398" w:rsidRDefault="002530D9" w:rsidP="002530D9">
      <w:pPr>
        <w:pStyle w:val="SingleTxtG"/>
        <w:ind w:left="1686"/>
      </w:pPr>
      <w:r>
        <w:t>(ii)</w:t>
      </w:r>
      <w:r>
        <w:tab/>
        <w:t>Vaststelling en preventie van factoren en omstandigheden die de toegang van kwetsbare groepen tot diensten en het volle genot van hun rechten (zoals o.a. inheemse kinderen en kinderen van minderheden en kinderen met een handicap) belemmeren;</w:t>
      </w:r>
    </w:p>
    <w:p w14:paraId="2F8821A1" w14:textId="77777777" w:rsidR="005A0FD9" w:rsidRPr="00417398" w:rsidRDefault="002530D9" w:rsidP="002530D9">
      <w:pPr>
        <w:pStyle w:val="SingleTxtG"/>
        <w:ind w:left="1686"/>
        <w:rPr>
          <w:shd w:val="clear" w:color="auto" w:fill="FFFFFF"/>
        </w:rPr>
      </w:pPr>
      <w:r>
        <w:rPr>
          <w:shd w:val="clear" w:color="auto" w:fill="FFFFFF"/>
        </w:rPr>
        <w:t>(iii)</w:t>
      </w:r>
      <w:r>
        <w:rPr>
          <w:shd w:val="clear" w:color="auto" w:fill="FFFFFF"/>
        </w:rPr>
        <w:tab/>
        <w:t xml:space="preserve">Beleid om armoede te verminderen, waaronder financiële en maatschappelijke ondersteuning voor gezinnen die risico lopen; </w:t>
      </w:r>
    </w:p>
    <w:p w14:paraId="147EEB6B" w14:textId="77777777" w:rsidR="005A0FD9" w:rsidRPr="00417398" w:rsidRDefault="002530D9" w:rsidP="00FB349E">
      <w:pPr>
        <w:pStyle w:val="SingleTxtG"/>
        <w:ind w:firstLine="567"/>
        <w:rPr>
          <w:shd w:val="clear" w:color="auto" w:fill="FFFFFF"/>
        </w:rPr>
      </w:pPr>
      <w:r>
        <w:rPr>
          <w:shd w:val="clear" w:color="auto" w:fill="FFFFFF"/>
        </w:rPr>
        <w:t>(iv)</w:t>
      </w:r>
      <w:r>
        <w:rPr>
          <w:shd w:val="clear" w:color="auto" w:fill="FFFFFF"/>
        </w:rPr>
        <w:tab/>
        <w:t xml:space="preserve">Gezondheid en veiligheid, huisvesting, werkgelegenheid en onderwijsbeleid; </w:t>
      </w:r>
    </w:p>
    <w:p w14:paraId="641A17C0" w14:textId="77777777" w:rsidR="005A0FD9" w:rsidRPr="00417398" w:rsidRDefault="002530D9" w:rsidP="00FB349E">
      <w:pPr>
        <w:pStyle w:val="SingleTxtG"/>
        <w:ind w:firstLine="567"/>
        <w:rPr>
          <w:shd w:val="clear" w:color="auto" w:fill="FFFFFF"/>
        </w:rPr>
      </w:pPr>
      <w:r>
        <w:rPr>
          <w:shd w:val="clear" w:color="auto" w:fill="FFFFFF"/>
        </w:rPr>
        <w:t>(v)</w:t>
      </w:r>
      <w:r>
        <w:rPr>
          <w:shd w:val="clear" w:color="auto" w:fill="FFFFFF"/>
        </w:rPr>
        <w:tab/>
        <w:t xml:space="preserve">Betere toegang tot gezondheidszorg, sociale voorzieningen en justitie; </w:t>
      </w:r>
    </w:p>
    <w:p w14:paraId="580DFD36" w14:textId="77777777" w:rsidR="005A0FD9" w:rsidRPr="00417398" w:rsidRDefault="002530D9" w:rsidP="00FB349E">
      <w:pPr>
        <w:pStyle w:val="SingleTxtG"/>
        <w:ind w:firstLine="567"/>
        <w:rPr>
          <w:shd w:val="clear" w:color="auto" w:fill="FFFFFF"/>
        </w:rPr>
      </w:pPr>
      <w:r>
        <w:rPr>
          <w:shd w:val="clear" w:color="auto" w:fill="FFFFFF"/>
        </w:rPr>
        <w:t>(vi)</w:t>
      </w:r>
      <w:r>
        <w:rPr>
          <w:shd w:val="clear" w:color="auto" w:fill="FFFFFF"/>
        </w:rPr>
        <w:tab/>
        <w:t xml:space="preserve">Het plannen van “kindvriendelijke steden": </w:t>
      </w:r>
    </w:p>
    <w:p w14:paraId="2BB7E001" w14:textId="77777777" w:rsidR="005A0FD9" w:rsidRPr="00417398" w:rsidRDefault="002530D9" w:rsidP="00FB349E">
      <w:pPr>
        <w:pStyle w:val="SingleTxtG"/>
        <w:ind w:firstLine="567"/>
        <w:rPr>
          <w:shd w:val="clear" w:color="auto" w:fill="FFFFFF"/>
        </w:rPr>
      </w:pPr>
      <w:r>
        <w:rPr>
          <w:shd w:val="clear" w:color="auto" w:fill="FFFFFF"/>
        </w:rPr>
        <w:t>(vii)</w:t>
      </w:r>
      <w:r>
        <w:rPr>
          <w:shd w:val="clear" w:color="auto" w:fill="FFFFFF"/>
        </w:rPr>
        <w:tab/>
        <w:t>M</w:t>
      </w:r>
      <w:r>
        <w:t>inder vraag naar en toegang tot alcohol, bij de wet verboden drugs en wapens;</w:t>
      </w:r>
    </w:p>
    <w:p w14:paraId="4819429B" w14:textId="77777777" w:rsidR="005A0FD9" w:rsidRPr="00417398" w:rsidRDefault="002530D9" w:rsidP="002530D9">
      <w:pPr>
        <w:pStyle w:val="SingleTxtG"/>
        <w:ind w:left="1686"/>
        <w:rPr>
          <w:shd w:val="clear" w:color="auto" w:fill="FFFFFF"/>
        </w:rPr>
      </w:pPr>
      <w:r>
        <w:rPr>
          <w:shd w:val="clear" w:color="auto" w:fill="FFFFFF"/>
        </w:rPr>
        <w:lastRenderedPageBreak/>
        <w:t>(viii)</w:t>
      </w:r>
      <w:r>
        <w:rPr>
          <w:shd w:val="clear" w:color="auto" w:fill="FFFFFF"/>
        </w:rPr>
        <w:tab/>
        <w:t xml:space="preserve">Samenwerking met </w:t>
      </w:r>
      <w:r>
        <w:t>de massamedia en de ITC branche om mondiale normen voor kinderzorg en -bescherming vast te stellen, te bevorderen en te handhaven;</w:t>
      </w:r>
    </w:p>
    <w:p w14:paraId="0C1D0FA6" w14:textId="77777777" w:rsidR="005A0FD9" w:rsidRPr="00417398" w:rsidRDefault="002530D9" w:rsidP="002530D9">
      <w:pPr>
        <w:pStyle w:val="SingleTxtG"/>
        <w:ind w:left="1686"/>
        <w:rPr>
          <w:shd w:val="clear" w:color="auto" w:fill="FFFFFF"/>
        </w:rPr>
      </w:pPr>
      <w:r>
        <w:t>(ix)</w:t>
      </w:r>
      <w:r>
        <w:tab/>
        <w:t>Ontwikkeling van richtlijnen om kinderen te beschermen tegen informatie en materiaal dat geproduceerd wordt door de massamedia waarin de menselijke waardigheid en integriteit van het kind niet gerespecteerd worden, afschaffen van stigmatiserende taal, geen verspreiding van meldingen over hernieuwd slachtofferschap naar aanleiding van gebeurtenissen in de familie of elders die een negatieve uitwerking op een kind hebben en bevorderen van professionele onderzoeksmethoden op basis van diverse bronnen die door alle betrokken partijen kunnen worden onderzocht;</w:t>
      </w:r>
    </w:p>
    <w:p w14:paraId="51EE16E4" w14:textId="77777777" w:rsidR="005A0FD9" w:rsidRPr="00417398" w:rsidRDefault="002530D9" w:rsidP="002530D9">
      <w:pPr>
        <w:pStyle w:val="SingleTxtG"/>
        <w:ind w:left="1686"/>
        <w:rPr>
          <w:shd w:val="clear" w:color="auto" w:fill="FFFFFF"/>
        </w:rPr>
      </w:pPr>
      <w:r>
        <w:t>(x)</w:t>
      </w:r>
      <w:r>
        <w:tab/>
        <w:t>Kansen voor kinderen om hun mening en verwachtingen in de media te uiten en niet alleen betrokken te zijn bij kinderprogramma's, maar ook betrokken bij de productie en overdracht van allerlei soorten informatie, bijvoorbeeld als verslaggevers, analisten en commentatoren om een adequaat beeld van kinderen en jeugd bij het publiek te ondersteunen.</w:t>
      </w:r>
    </w:p>
    <w:p w14:paraId="35F0FC86" w14:textId="77777777" w:rsidR="005A0FD9" w:rsidRPr="00417398" w:rsidRDefault="005A0FD9" w:rsidP="00FB349E">
      <w:pPr>
        <w:pStyle w:val="SingleTxtG"/>
        <w:ind w:firstLine="567"/>
        <w:rPr>
          <w:shd w:val="clear" w:color="auto" w:fill="FFFFFF"/>
        </w:rPr>
      </w:pPr>
      <w:r>
        <w:rPr>
          <w:shd w:val="clear" w:color="auto" w:fill="FFFFFF"/>
        </w:rPr>
        <w:t>(b)</w:t>
      </w:r>
      <w:r>
        <w:rPr>
          <w:shd w:val="clear" w:color="auto" w:fill="FFFFFF"/>
        </w:rPr>
        <w:tab/>
      </w:r>
      <w:r>
        <w:rPr>
          <w:i/>
          <w:shd w:val="clear" w:color="auto" w:fill="FFFFFF"/>
        </w:rPr>
        <w:t>Sociale programma's om het kind individueel te ondersteunen en om de familie en andere verzorgers van het kind te ondersteunen bij het bieden van een optimale positieve opvoeding, bijvoorbeeld:</w:t>
      </w:r>
    </w:p>
    <w:p w14:paraId="79147665" w14:textId="77777777" w:rsidR="005A0FD9" w:rsidRPr="00417398" w:rsidRDefault="002530D9" w:rsidP="002530D9">
      <w:pPr>
        <w:pStyle w:val="SingleTxtG"/>
        <w:ind w:left="1686"/>
        <w:rPr>
          <w:shd w:val="clear" w:color="auto" w:fill="FFFFFF"/>
        </w:rPr>
      </w:pPr>
      <w:r>
        <w:rPr>
          <w:shd w:val="clear" w:color="auto" w:fill="FFFFFF"/>
        </w:rPr>
        <w:t>(i)</w:t>
      </w:r>
      <w:r>
        <w:rPr>
          <w:shd w:val="clear" w:color="auto" w:fill="FFFFFF"/>
        </w:rPr>
        <w:tab/>
        <w:t xml:space="preserve">Voor kinderen: kinderdagverblijf, ontwikkeling van het kind in zijn beginjaren en naschoolse opvang; kinder- en jeugdgroepen en clubs; begeleiding voor kinderen met problemen (zoals zelfverwonding); 24-uurs gratis kinderhulplijnen met daarvoor opgeleide medewerkers; pleeggezinnen die periodiek gecontroleerd worden; </w:t>
      </w:r>
    </w:p>
    <w:p w14:paraId="210EF91A" w14:textId="77777777" w:rsidR="005A0FD9" w:rsidRPr="00417398" w:rsidRDefault="002530D9" w:rsidP="002530D9">
      <w:pPr>
        <w:pStyle w:val="SingleTxtG"/>
        <w:ind w:left="1686"/>
        <w:rPr>
          <w:shd w:val="clear" w:color="auto" w:fill="FFFFFF"/>
        </w:rPr>
      </w:pPr>
      <w:r>
        <w:rPr>
          <w:shd w:val="clear" w:color="auto" w:fill="FFFFFF"/>
        </w:rPr>
        <w:t>(ii)</w:t>
      </w:r>
      <w:r>
        <w:rPr>
          <w:shd w:val="clear" w:color="auto" w:fill="FFFFFF"/>
        </w:rPr>
        <w:tab/>
        <w:t>Voor gezinnen en andere verzorgers: zelfhulpgroepen in de gemeenschap om psychosociale en economische uitdagingen aan te pakken (bijvoorbeeld ouderschapscursussen en microkredietgroepen); sociale-zekerheidsprogramma's ter ondersteuning van de levensstandaard van gezinnen, inclusief directe vergoedingen voor kinderen op een bepaalde leeftijd; begeleiding voor verzorgers die problemen hebben met het vinden van werk, huisvesting en / of de opvoeding van kinderen; therapeutische programma's (ook zelfhulpgroepen) om verzorgers te helpen met problemen op het gebied van huiselijk geweld, alcohol- of drugsverslaving of met andere behoeften op het gebied van geestelijke gezondheid.</w:t>
      </w:r>
    </w:p>
    <w:p w14:paraId="56773063" w14:textId="77777777" w:rsidR="005A0FD9" w:rsidRPr="00417398" w:rsidRDefault="005A0FD9" w:rsidP="00FB349E">
      <w:pPr>
        <w:pStyle w:val="SingleTxtG"/>
        <w:numPr>
          <w:ilvl w:val="0"/>
          <w:numId w:val="16"/>
        </w:numPr>
        <w:rPr>
          <w:noProof/>
        </w:rPr>
      </w:pPr>
      <w:r>
        <w:t xml:space="preserve">Educatieve maatregelen moeten houding, tradities, gewoonten en gedragspraktijken die geweld tegen kinderen goedkeuren en bevorderen een halt toeroepen. De maatregelen dienen een open gesprek aan te moedigen over geweld, waarbij ook de media en de maatschappij ingeschakeld worden. Ze dienen de zelfredzaamheid, kennis en participatie van kinderen te ondersteunen en het vermogen van verzorgers en professionals in hun contact met kinderen te vergroten. Ze kunnen worden geïnitieerd en ingevoerd door zowel overheids- als maatschappelijke actoren die onder de verantwoordelijkheid van de Staat vallen. Specifieke voorbeelden zijn onder andere: </w:t>
      </w:r>
    </w:p>
    <w:p w14:paraId="35882CEB" w14:textId="72B7599A" w:rsidR="005A0FD9" w:rsidRPr="00417398" w:rsidRDefault="005A0FD9" w:rsidP="00FB349E">
      <w:pPr>
        <w:pStyle w:val="SingleTxtG"/>
        <w:ind w:firstLine="567"/>
        <w:rPr>
          <w:shd w:val="clear" w:color="auto" w:fill="FFFFFF"/>
        </w:rPr>
      </w:pPr>
      <w:r>
        <w:rPr>
          <w:shd w:val="clear" w:color="auto" w:fill="FFFFFF"/>
        </w:rPr>
        <w:t>(a)</w:t>
      </w:r>
      <w:r>
        <w:rPr>
          <w:shd w:val="clear" w:color="auto" w:fill="FFFFFF"/>
        </w:rPr>
        <w:tab/>
      </w:r>
      <w:r>
        <w:rPr>
          <w:i/>
          <w:iCs/>
          <w:shd w:val="clear" w:color="auto" w:fill="FFFFFF"/>
        </w:rPr>
        <w:t>Voor alle belanghebbenden</w:t>
      </w:r>
      <w:r>
        <w:rPr>
          <w:shd w:val="clear" w:color="auto" w:fill="FFFFFF"/>
        </w:rPr>
        <w:t>: voorlichtingsprogramma's, bewustmakingscampagnes, via opinieleiders en de media, om een positieve opvoeding van kinderen te bevorderen en negatieve houdingen en praktijken van de maatschappij die geweld goedkeuren of aanmoedigen te bestrijden; de verspreiding van het Verdrag, dit General Comment</w:t>
      </w:r>
      <w:r w:rsidR="00A74CCC">
        <w:rPr>
          <w:shd w:val="clear" w:color="auto" w:fill="FFFFFF"/>
        </w:rPr>
        <w:t xml:space="preserve"> </w:t>
      </w:r>
      <w:r>
        <w:rPr>
          <w:shd w:val="clear" w:color="auto" w:fill="FFFFFF"/>
        </w:rPr>
        <w:t>en rapportages van Staten die partij zijn bij het Verdrag in kindvriendelijke en toegankelijke formats; ondersteunende maatregelen op het gebied van voorlichting en advies over bescherming in de ICT-context;</w:t>
      </w:r>
    </w:p>
    <w:p w14:paraId="442FFCE0" w14:textId="77777777" w:rsidR="005A0FD9" w:rsidRPr="00417398" w:rsidRDefault="005A0FD9" w:rsidP="00FB349E">
      <w:pPr>
        <w:pStyle w:val="SingleTxtG"/>
        <w:ind w:firstLine="567"/>
      </w:pPr>
      <w:r>
        <w:rPr>
          <w:shd w:val="clear" w:color="auto" w:fill="FFFFFF"/>
        </w:rPr>
        <w:t>(b)</w:t>
      </w:r>
      <w:r>
        <w:rPr>
          <w:shd w:val="clear" w:color="auto" w:fill="FFFFFF"/>
        </w:rPr>
        <w:tab/>
      </w:r>
      <w:r>
        <w:rPr>
          <w:i/>
          <w:iCs/>
          <w:shd w:val="clear" w:color="auto" w:fill="FFFFFF"/>
        </w:rPr>
        <w:t>Voor kinderen</w:t>
      </w:r>
      <w:r>
        <w:rPr>
          <w:shd w:val="clear" w:color="auto" w:fill="FFFFFF"/>
        </w:rPr>
        <w:t xml:space="preserve">: accurate, toegankelijke en bij de leeftijd passende voorlichting en voor jezelf leren opkomen bij zelfredzaamheid, zelfbescherming en specifieke risico's, zoals die in het kader van ICT en hoe je positieve relaties met leeftijdgenoten opbouwt en </w:t>
      </w:r>
      <w:r>
        <w:rPr>
          <w:shd w:val="clear" w:color="auto" w:fill="FFFFFF"/>
        </w:rPr>
        <w:lastRenderedPageBreak/>
        <w:t xml:space="preserve">pesten tegengaat; voor jezelf opkomen als het gaat om kinderrechten in het algemeen </w:t>
      </w:r>
      <w:r>
        <w:rPr>
          <w:shd w:val="clear" w:color="auto" w:fill="FFFFFF"/>
        </w:rPr>
        <w:noBreakHyphen/>
        <w:t xml:space="preserve"> en in het bijzonder om het recht gehoord te worden en serieus genomen te worden</w:t>
      </w:r>
      <w:r>
        <w:rPr>
          <w:rFonts w:ascii="Verdana" w:hAnsi="Verdana"/>
          <w:sz w:val="18"/>
          <w:szCs w:val="18"/>
        </w:rPr>
        <w:t xml:space="preserve"> </w:t>
      </w:r>
      <w:r>
        <w:noBreakHyphen/>
        <w:t xml:space="preserve"> door het vakkenaanbod en op andere manieren</w:t>
      </w:r>
      <w:r>
        <w:rPr>
          <w:shd w:val="clear" w:color="auto" w:fill="FFFFFF"/>
        </w:rPr>
        <w:t xml:space="preserve">; </w:t>
      </w:r>
    </w:p>
    <w:p w14:paraId="0004FE7C" w14:textId="77777777" w:rsidR="005A0FD9" w:rsidRPr="00417398" w:rsidRDefault="005A0FD9" w:rsidP="00FB349E">
      <w:pPr>
        <w:pStyle w:val="SingleTxtG"/>
        <w:ind w:firstLine="567"/>
        <w:rPr>
          <w:shd w:val="clear" w:color="auto" w:fill="FFFFFF"/>
        </w:rPr>
      </w:pPr>
      <w:r>
        <w:rPr>
          <w:shd w:val="clear" w:color="auto" w:fill="FFFFFF"/>
        </w:rPr>
        <w:t>(c)</w:t>
      </w:r>
      <w:r>
        <w:rPr>
          <w:shd w:val="clear" w:color="auto" w:fill="FFFFFF"/>
        </w:rPr>
        <w:tab/>
      </w:r>
      <w:r>
        <w:rPr>
          <w:i/>
          <w:iCs/>
          <w:shd w:val="clear" w:color="auto" w:fill="FFFFFF"/>
        </w:rPr>
        <w:t>Voor gezinnen en gemeenschappen</w:t>
      </w:r>
      <w:r>
        <w:rPr>
          <w:shd w:val="clear" w:color="auto" w:fill="FFFFFF"/>
        </w:rPr>
        <w:t xml:space="preserve">: voorlichting voor ouders en verzorgers over positieve opvoeding van kinderen; accurate en toegankelijke informatie over specifieke risico's en hoe je naar kinderen moet luisteren en hun mening serieus moet nemen; </w:t>
      </w:r>
    </w:p>
    <w:p w14:paraId="5AA39E1B" w14:textId="77777777" w:rsidR="005A0FD9" w:rsidRPr="00417398" w:rsidRDefault="00FB349E" w:rsidP="00FB349E">
      <w:pPr>
        <w:pStyle w:val="SingleTxtG"/>
        <w:ind w:firstLine="567"/>
        <w:rPr>
          <w:shd w:val="clear" w:color="auto" w:fill="FFFFFF"/>
        </w:rPr>
      </w:pPr>
      <w:r>
        <w:rPr>
          <w:shd w:val="clear" w:color="auto" w:fill="FFFFFF"/>
        </w:rPr>
        <w:t>(d)</w:t>
      </w:r>
      <w:r>
        <w:rPr>
          <w:i/>
          <w:iCs/>
          <w:shd w:val="clear" w:color="auto" w:fill="FFFFFF"/>
        </w:rPr>
        <w:tab/>
        <w:t>Voor professionals en instanties (overheid en maatschappij)</w:t>
      </w:r>
      <w:r>
        <w:rPr>
          <w:shd w:val="clear" w:color="auto" w:fill="FFFFFF"/>
        </w:rPr>
        <w:t xml:space="preserve">: </w:t>
      </w:r>
    </w:p>
    <w:p w14:paraId="51F56174" w14:textId="77777777" w:rsidR="005A0FD9" w:rsidRPr="00417398" w:rsidRDefault="00A7129A" w:rsidP="00A7129A">
      <w:pPr>
        <w:pStyle w:val="SingleTxtG"/>
        <w:ind w:left="1686"/>
        <w:rPr>
          <w:shd w:val="clear" w:color="auto" w:fill="FFFFFF"/>
        </w:rPr>
      </w:pPr>
      <w:r>
        <w:rPr>
          <w:shd w:val="clear" w:color="auto" w:fill="FFFFFF"/>
        </w:rPr>
        <w:t>(i)</w:t>
      </w:r>
      <w:r>
        <w:rPr>
          <w:shd w:val="clear" w:color="auto" w:fill="FFFFFF"/>
        </w:rPr>
        <w:tab/>
        <w:t>Initiële en in de dienst geïntegreerde algemene en rolspecifieke training (ook intersectoraal waar nodig) over een kinderrechtenbenadering van artikel 19 en de toepassing ervan in de praktijk, voor alle professionals en niet-professionals die met en voor kinderen werken (inclusief leerkrachten op alle niveaus in het onderwijs, maatschappelijk werkers, artsen, verpleegkundigen en andere gezondheidswerkers, psychologen, advocaten, rechters, politie, reclasseringsambtenaren en gevangenisbewaarders, journalisten, buurtwerkers, verzorgers in tehuizen, ambtenaren en publieke functionarissen, asielambtenaren en traditionele en religieuze leiders);</w:t>
      </w:r>
    </w:p>
    <w:p w14:paraId="4DA87934" w14:textId="77777777" w:rsidR="005A0FD9" w:rsidRPr="00417398" w:rsidRDefault="00A7129A" w:rsidP="00A7129A">
      <w:pPr>
        <w:pStyle w:val="SingleTxtG"/>
        <w:ind w:left="1686"/>
        <w:rPr>
          <w:shd w:val="clear" w:color="auto" w:fill="FFFFFF"/>
        </w:rPr>
      </w:pPr>
      <w:r>
        <w:rPr>
          <w:shd w:val="clear" w:color="auto" w:fill="FFFFFF"/>
        </w:rPr>
        <w:t>(ii)</w:t>
      </w:r>
      <w:r>
        <w:rPr>
          <w:shd w:val="clear" w:color="auto" w:fill="FFFFFF"/>
        </w:rPr>
        <w:tab/>
        <w:t xml:space="preserve">Ontwikkeling van officieel erkende certificeringsregelingen in samenwerking met onderwijs- en opleidingsinstanties en professionele organisaties voor de regulering en erkenning van een dergelijke opleiding; </w:t>
      </w:r>
    </w:p>
    <w:p w14:paraId="533EA677" w14:textId="77777777" w:rsidR="005A0FD9" w:rsidRPr="00417398" w:rsidRDefault="00A7129A" w:rsidP="00A7129A">
      <w:pPr>
        <w:pStyle w:val="SingleTxtG"/>
        <w:ind w:left="1686"/>
        <w:rPr>
          <w:shd w:val="clear" w:color="auto" w:fill="FFFFFF"/>
        </w:rPr>
      </w:pPr>
      <w:r>
        <w:rPr>
          <w:shd w:val="clear" w:color="auto" w:fill="FFFFFF"/>
        </w:rPr>
        <w:t>(iii)</w:t>
      </w:r>
      <w:r>
        <w:rPr>
          <w:shd w:val="clear" w:color="auto" w:fill="FFFFFF"/>
        </w:rPr>
        <w:tab/>
        <w:t xml:space="preserve">Ervoor zorgen dat het Verdrag onderdeel uitmaakt van het onderwijscurriculum van alle professionals waarvan verwacht wordt dat zij met en voor kinderen gaan werken; </w:t>
      </w:r>
    </w:p>
    <w:p w14:paraId="2585169F" w14:textId="77777777" w:rsidR="005A0FD9" w:rsidRPr="00417398" w:rsidRDefault="00A7129A" w:rsidP="00A7129A">
      <w:pPr>
        <w:pStyle w:val="SingleTxtG"/>
        <w:ind w:left="1686"/>
        <w:rPr>
          <w:shd w:val="clear" w:color="auto" w:fill="FFFFFF"/>
        </w:rPr>
      </w:pPr>
      <w:r>
        <w:rPr>
          <w:shd w:val="clear" w:color="auto" w:fill="FFFFFF"/>
        </w:rPr>
        <w:t>(iv)</w:t>
      </w:r>
      <w:r>
        <w:rPr>
          <w:shd w:val="clear" w:color="auto" w:fill="FFFFFF"/>
        </w:rPr>
        <w:tab/>
        <w:t>Ondersteuning van “kindvriendelijke scholen” en andere initiatieven, zoals o.a. Inachtneming van kinderparticipatie;</w:t>
      </w:r>
    </w:p>
    <w:p w14:paraId="7DC1A11B" w14:textId="77777777" w:rsidR="005A0FD9" w:rsidRPr="00417398" w:rsidRDefault="00A7129A" w:rsidP="00A7129A">
      <w:pPr>
        <w:pStyle w:val="SingleTxtG"/>
        <w:ind w:firstLine="552"/>
        <w:rPr>
          <w:shd w:val="clear" w:color="auto" w:fill="FFFFFF"/>
        </w:rPr>
      </w:pPr>
      <w:r>
        <w:rPr>
          <w:shd w:val="clear" w:color="auto" w:fill="FFFFFF"/>
        </w:rPr>
        <w:t>(v)</w:t>
      </w:r>
      <w:r>
        <w:rPr>
          <w:shd w:val="clear" w:color="auto" w:fill="FFFFFF"/>
        </w:rPr>
        <w:tab/>
        <w:t>Bevordering van onderzoek</w:t>
      </w:r>
      <w:r>
        <w:t xml:space="preserve"> naar kinderzorg en -bescherming. </w:t>
      </w:r>
    </w:p>
    <w:p w14:paraId="084E96BA" w14:textId="77777777" w:rsidR="005A0FD9" w:rsidRPr="00417398" w:rsidRDefault="00FB349E" w:rsidP="00FB349E">
      <w:pPr>
        <w:pStyle w:val="H1G"/>
        <w:rPr>
          <w:noProof/>
        </w:rPr>
      </w:pPr>
      <w:r>
        <w:tab/>
        <w:t>B.</w:t>
      </w:r>
      <w:r>
        <w:tab/>
      </w:r>
      <w:bookmarkStart w:id="53" w:name="_Toc285724530"/>
      <w:bookmarkStart w:id="54" w:name="_Toc285724590"/>
      <w:bookmarkStart w:id="55" w:name="_Toc285724737"/>
      <w:bookmarkStart w:id="56" w:name="_Toc285724995"/>
      <w:r>
        <w:t>Artikel 19 lid 2</w:t>
      </w:r>
      <w:bookmarkStart w:id="57" w:name="_Toc285723375"/>
      <w:r>
        <w:t xml:space="preserve"> </w:t>
      </w:r>
      <w:bookmarkEnd w:id="57"/>
      <w:bookmarkEnd w:id="53"/>
      <w:bookmarkEnd w:id="54"/>
      <w:bookmarkEnd w:id="55"/>
      <w:bookmarkEnd w:id="56"/>
    </w:p>
    <w:p w14:paraId="49F9123F" w14:textId="77777777" w:rsidR="005A0FD9" w:rsidRPr="00417398" w:rsidRDefault="00FB349E" w:rsidP="00A7129A">
      <w:pPr>
        <w:pStyle w:val="H23G"/>
        <w:rPr>
          <w:noProof/>
        </w:rPr>
      </w:pPr>
      <w:r>
        <w:tab/>
      </w:r>
      <w:bookmarkStart w:id="58" w:name="_Toc285723376"/>
      <w:bookmarkStart w:id="59" w:name="_Toc285724531"/>
      <w:bookmarkStart w:id="60" w:name="_Toc285724591"/>
      <w:bookmarkStart w:id="61" w:name="_Toc285724738"/>
      <w:bookmarkStart w:id="62" w:name="_Toc285724996"/>
      <w:r>
        <w:tab/>
        <w:t>“onder dergelijke beschermende maatregelen dienen waar nodig te vallen ...</w:t>
      </w:r>
      <w:bookmarkEnd w:id="58"/>
      <w:bookmarkEnd w:id="59"/>
      <w:bookmarkEnd w:id="60"/>
      <w:bookmarkEnd w:id="61"/>
      <w:bookmarkEnd w:id="62"/>
    </w:p>
    <w:p w14:paraId="733DC8F6" w14:textId="77777777" w:rsidR="005A0FD9" w:rsidRPr="00417398" w:rsidRDefault="005A0FD9" w:rsidP="00FB349E">
      <w:pPr>
        <w:pStyle w:val="SingleTxtG"/>
        <w:numPr>
          <w:ilvl w:val="0"/>
          <w:numId w:val="16"/>
        </w:numPr>
        <w:rPr>
          <w:noProof/>
          <w:szCs w:val="24"/>
        </w:rPr>
      </w:pPr>
      <w:r>
        <w:rPr>
          <w:b/>
        </w:rPr>
        <w:t>Reeks van interventies</w:t>
      </w:r>
      <w:r>
        <w:t xml:space="preserve"> Een holistisch systeem voor kinderbescherming vereist het bieden van alomvattende en geïntegreerde maatregelen over de volledige reeks van stadia die in artikel 19 lid 2 zijn vastgesteld, rekening houdend met de sociaal-culturele tradities en het rechtsstelsel van de respectievelijke Staat die partij is.</w:t>
      </w:r>
      <w:r w:rsidRPr="00417398">
        <w:rPr>
          <w:rStyle w:val="FootnoteReference"/>
          <w:bCs/>
          <w:noProof/>
        </w:rPr>
        <w:footnoteReference w:id="20"/>
      </w:r>
      <w:r>
        <w:t xml:space="preserve"> </w:t>
      </w:r>
    </w:p>
    <w:p w14:paraId="2453698C" w14:textId="7EF56C37" w:rsidR="005A0FD9" w:rsidRPr="00417398" w:rsidRDefault="005A0FD9" w:rsidP="00FB349E">
      <w:pPr>
        <w:pStyle w:val="SingleTxtG"/>
        <w:numPr>
          <w:ilvl w:val="0"/>
          <w:numId w:val="16"/>
        </w:numPr>
        <w:rPr>
          <w:noProof/>
        </w:rPr>
      </w:pPr>
      <w:r>
        <w:rPr>
          <w:b/>
          <w:shd w:val="clear" w:color="auto" w:fill="FFFFFF"/>
        </w:rPr>
        <w:t>Preventie</w:t>
      </w:r>
      <w:r>
        <w:rPr>
          <w:color w:val="0000FF"/>
        </w:rPr>
        <w:t xml:space="preserve"> </w:t>
      </w:r>
      <w:r>
        <w:rPr>
          <w:shd w:val="clear" w:color="auto" w:fill="FFFFFF"/>
        </w:rPr>
        <w:t>Het Comité benadrukt ten sterkste dat</w:t>
      </w:r>
      <w:r w:rsidR="00A74CCC">
        <w:rPr>
          <w:shd w:val="clear" w:color="auto" w:fill="FFFFFF"/>
        </w:rPr>
        <w:t xml:space="preserve"> </w:t>
      </w:r>
      <w:r>
        <w:t xml:space="preserve">de bescherming van het kind moet beginnen bij de proactieve preventie van alle vormen van geweld en het expliciete verbod op alle vormen van geweld. Staten die partij zijn hebben de verplichting alle maatregelen te nemen die noodzakelijk zijn om ervoor te zorgen dat volwassenen die verantwoordelijk zijn voor de verzorging, begeleiding en opvoeding van kinderen de rechten van kinderen respecteren en beschermen. Onder preventie vallen ook de volksgezondheid en andere maatregelen om een respectvolle opvoeding van kinderen, vrij van geweld, voor alle kinderen positief te bevorderen en de onderliggende oorzaken voor geweld op alle niveaus aan te pakken, van het kind, het gezin, de pleger, de gemeenschap, de instelling en de maatschappij. Nadruk op algemene (primaire) en gerichte (secundaire) preventie moet te allen tijde helemaal voorop staan bij de ontwikkeling en invoering van kinderbeschermingssystemen. </w:t>
      </w:r>
      <w:r>
        <w:rPr>
          <w:shd w:val="clear" w:color="auto" w:fill="FFFFFF"/>
        </w:rPr>
        <w:t xml:space="preserve">Preventieve maatregelen geven op de lange termijn het meeste rendement. Zich verplichten </w:t>
      </w:r>
      <w:r>
        <w:rPr>
          <w:shd w:val="clear" w:color="auto" w:fill="FFFFFF"/>
        </w:rPr>
        <w:lastRenderedPageBreak/>
        <w:t>tot preventie doet echter niets af aan de verplichting van Staten die partij zijn effectief te reageren op geweld als het zich voordoet.</w:t>
      </w:r>
      <w:r>
        <w:t xml:space="preserve"> </w:t>
      </w:r>
    </w:p>
    <w:p w14:paraId="2F04F428" w14:textId="77777777" w:rsidR="005A0FD9" w:rsidRPr="00417398" w:rsidRDefault="005A0FD9" w:rsidP="00613863">
      <w:pPr>
        <w:pStyle w:val="SingleTxtG"/>
        <w:numPr>
          <w:ilvl w:val="0"/>
          <w:numId w:val="16"/>
        </w:numPr>
        <w:rPr>
          <w:noProof/>
        </w:rPr>
      </w:pPr>
      <w:r>
        <w:t>Onder preventieve maatregelen vallen onder andere:</w:t>
      </w:r>
    </w:p>
    <w:p w14:paraId="6C176344" w14:textId="77777777" w:rsidR="00FB349E" w:rsidRPr="00417398" w:rsidRDefault="00190633" w:rsidP="00190633">
      <w:pPr>
        <w:pStyle w:val="SingleTxtG"/>
        <w:ind w:left="1701"/>
        <w:rPr>
          <w:noProof/>
          <w:shd w:val="clear" w:color="auto" w:fill="FFFFFF"/>
        </w:rPr>
      </w:pPr>
      <w:r>
        <w:rPr>
          <w:iCs/>
          <w:shd w:val="clear" w:color="auto" w:fill="FFFFFF"/>
        </w:rPr>
        <w:t>(a)</w:t>
      </w:r>
      <w:r>
        <w:rPr>
          <w:iCs/>
          <w:shd w:val="clear" w:color="auto" w:fill="FFFFFF"/>
        </w:rPr>
        <w:tab/>
      </w:r>
      <w:r>
        <w:rPr>
          <w:i/>
          <w:iCs/>
          <w:shd w:val="clear" w:color="auto" w:fill="FFFFFF"/>
        </w:rPr>
        <w:t>Voor alle belanghebbenden</w:t>
      </w:r>
      <w:r>
        <w:rPr>
          <w:shd w:val="clear" w:color="auto" w:fill="FFFFFF"/>
        </w:rPr>
        <w:t xml:space="preserve">: </w:t>
      </w:r>
    </w:p>
    <w:p w14:paraId="58482582" w14:textId="77777777" w:rsidR="00FB349E" w:rsidRPr="00417398" w:rsidRDefault="00190633" w:rsidP="00190633">
      <w:pPr>
        <w:pStyle w:val="SingleTxtG"/>
        <w:ind w:left="1686"/>
        <w:rPr>
          <w:noProof/>
          <w:shd w:val="clear" w:color="auto" w:fill="FFFFFF"/>
        </w:rPr>
      </w:pPr>
      <w:r>
        <w:t>(i)</w:t>
      </w:r>
      <w:r>
        <w:tab/>
        <w:t>Houdingen bestrijden die geweld in al zijn vormen blijven tolereren en goedkeuren, ook met betrekking tot geslacht, ras, kleur, geloof, etnische of sociale achtergrond, beperking en andere ongelijkheden;</w:t>
      </w:r>
      <w:r>
        <w:rPr>
          <w:shd w:val="clear" w:color="auto" w:fill="FFFFFF"/>
        </w:rPr>
        <w:t xml:space="preserve"> </w:t>
      </w:r>
    </w:p>
    <w:p w14:paraId="62D3C52A" w14:textId="77777777" w:rsidR="00FB349E" w:rsidRPr="00417398" w:rsidRDefault="00190633" w:rsidP="00190633">
      <w:pPr>
        <w:pStyle w:val="SingleTxtG"/>
        <w:ind w:left="1686"/>
        <w:rPr>
          <w:noProof/>
          <w:shd w:val="clear" w:color="auto" w:fill="FFFFFF"/>
        </w:rPr>
      </w:pPr>
      <w:r>
        <w:rPr>
          <w:shd w:val="clear" w:color="auto" w:fill="FFFFFF"/>
        </w:rPr>
        <w:t>(ii)</w:t>
      </w:r>
      <w:r>
        <w:rPr>
          <w:shd w:val="clear" w:color="auto" w:fill="FFFFFF"/>
        </w:rPr>
        <w:tab/>
        <w:t xml:space="preserve">Voorlichting verspreiden over de holistische en positieve benadering van het Verdrag van bescherming van kinderen door middel van creatieve publiekscampagnes, scholen en voorlichting door leeftijdgenoten, voorlichtingsinitiatieven voor gezinnen, de gemeenschap en instellingen, professionals en groepen professionals, ngo's en de maatschappij; </w:t>
      </w:r>
    </w:p>
    <w:p w14:paraId="713FCD66" w14:textId="77777777" w:rsidR="005A0FD9" w:rsidRPr="00417398" w:rsidRDefault="00190633" w:rsidP="00190633">
      <w:pPr>
        <w:pStyle w:val="SingleTxtG"/>
        <w:ind w:left="1686"/>
        <w:rPr>
          <w:noProof/>
          <w:shd w:val="clear" w:color="auto" w:fill="FFFFFF"/>
        </w:rPr>
      </w:pPr>
      <w:r>
        <w:rPr>
          <w:shd w:val="clear" w:color="auto" w:fill="FFFFFF"/>
        </w:rPr>
        <w:t>(iii)</w:t>
      </w:r>
      <w:r>
        <w:rPr>
          <w:shd w:val="clear" w:color="auto" w:fill="FFFFFF"/>
        </w:rPr>
        <w:tab/>
        <w:t xml:space="preserve">Partnerschappen opbouwen met alle </w:t>
      </w:r>
      <w:r>
        <w:t>sectoren van de maatschappij, ook met kinderen zelf, ngo's en de media;</w:t>
      </w:r>
    </w:p>
    <w:p w14:paraId="37B7A689" w14:textId="77777777" w:rsidR="00FB349E" w:rsidRPr="00417398" w:rsidRDefault="005A0FD9" w:rsidP="00FB349E">
      <w:pPr>
        <w:pStyle w:val="SingleTxtG"/>
        <w:ind w:firstLine="567"/>
        <w:rPr>
          <w:noProof/>
        </w:rPr>
      </w:pPr>
      <w:r>
        <w:rPr>
          <w:shd w:val="clear" w:color="auto" w:fill="FFFFFF"/>
        </w:rPr>
        <w:t>(b)</w:t>
      </w:r>
      <w:r>
        <w:rPr>
          <w:shd w:val="clear" w:color="auto" w:fill="FFFFFF"/>
        </w:rPr>
        <w:tab/>
      </w:r>
      <w:r>
        <w:rPr>
          <w:i/>
          <w:shd w:val="clear" w:color="auto" w:fill="FFFFFF"/>
        </w:rPr>
        <w:t>Voor kinderen:</w:t>
      </w:r>
      <w:r>
        <w:t xml:space="preserve"> </w:t>
      </w:r>
    </w:p>
    <w:p w14:paraId="1B7C9F94" w14:textId="77777777" w:rsidR="00FB349E" w:rsidRPr="00417398" w:rsidRDefault="00190633" w:rsidP="00190633">
      <w:pPr>
        <w:pStyle w:val="SingleTxtG"/>
        <w:ind w:left="1686"/>
        <w:rPr>
          <w:noProof/>
        </w:rPr>
      </w:pPr>
      <w:r>
        <w:t>(i)</w:t>
      </w:r>
      <w:r>
        <w:tab/>
        <w:t>Alle kinderen registreren zodat ze makkelijker toegang hebben tot diensten en verhaalprocedures;</w:t>
      </w:r>
    </w:p>
    <w:p w14:paraId="1702A106" w14:textId="77777777" w:rsidR="00FB349E" w:rsidRPr="00417398" w:rsidRDefault="00190633" w:rsidP="00190633">
      <w:pPr>
        <w:pStyle w:val="SingleTxtG"/>
        <w:ind w:left="1686"/>
        <w:rPr>
          <w:noProof/>
        </w:rPr>
      </w:pPr>
      <w:r>
        <w:t>(ii)</w:t>
      </w:r>
      <w:r>
        <w:tab/>
        <w:t xml:space="preserve">Ondersteuning van kinderen bij het zichzelf en leeftijdgenoten beschermen door ze bewust te maken van hun rechten en sociale vaardigheden te ontwikkelen evenals bij de leeftijd passende strategieën om ze te leren op te komen voor zichzelf; </w:t>
      </w:r>
    </w:p>
    <w:p w14:paraId="5AE815C1" w14:textId="77777777" w:rsidR="005A0FD9" w:rsidRPr="00417398" w:rsidRDefault="00190633" w:rsidP="00190633">
      <w:pPr>
        <w:pStyle w:val="SingleTxtG"/>
        <w:ind w:left="1686"/>
        <w:rPr>
          <w:noProof/>
          <w:shd w:val="clear" w:color="auto" w:fill="FFFFFF"/>
        </w:rPr>
      </w:pPr>
      <w:r>
        <w:t>(Iii)</w:t>
      </w:r>
      <w:r>
        <w:tab/>
        <w:t>"Mentorprogramma's” invoeren waarbij verantwoordelijke en vertrouwde volwassenen worden betrokken bij het leven van kinderen waarvan is vastgesteld dat ze extra steun behoeven buiten de steun die ze van hun verzorgers ontvangen;</w:t>
      </w:r>
    </w:p>
    <w:p w14:paraId="14977E42" w14:textId="77777777" w:rsidR="00FB349E" w:rsidRPr="00417398" w:rsidRDefault="005A0FD9" w:rsidP="00FB349E">
      <w:pPr>
        <w:pStyle w:val="SingleTxtG"/>
        <w:ind w:firstLine="567"/>
        <w:rPr>
          <w:noProof/>
          <w:shd w:val="clear" w:color="auto" w:fill="FFFFFF"/>
        </w:rPr>
      </w:pPr>
      <w:r>
        <w:rPr>
          <w:shd w:val="clear" w:color="auto" w:fill="FFFFFF"/>
        </w:rPr>
        <w:t xml:space="preserve">(c) </w:t>
      </w:r>
      <w:r>
        <w:rPr>
          <w:i/>
          <w:shd w:val="clear" w:color="auto" w:fill="FFFFFF"/>
        </w:rPr>
        <w:t>Voor gezinnen en gemeenschappen:</w:t>
      </w:r>
    </w:p>
    <w:p w14:paraId="12D36818" w14:textId="77777777" w:rsidR="00FB349E" w:rsidRPr="00417398" w:rsidRDefault="00190633" w:rsidP="00190633">
      <w:pPr>
        <w:pStyle w:val="SingleTxtG"/>
        <w:ind w:left="1686"/>
        <w:rPr>
          <w:rFonts w:eastAsia="AGaramond-Regular"/>
          <w:noProof/>
        </w:rPr>
      </w:pPr>
      <w:r>
        <w:t xml:space="preserve"> (i)</w:t>
      </w:r>
      <w:r>
        <w:tab/>
        <w:t xml:space="preserve">Ondersteuning van ouders en verzorgers bij het begrijpen, omarmen en invoeren van een goede opvoeding voor het op basis van kennis van de rechten van het kind, de ontwikkeling van kinderen en technieken voor een positieve manier van bestraffen om het vermogen van het gezin te versterken om kinderen zorg in een veilige omgeving te bieden; </w:t>
      </w:r>
    </w:p>
    <w:p w14:paraId="534D2A73" w14:textId="77777777" w:rsidR="00FB349E" w:rsidRPr="00417398" w:rsidRDefault="00190633" w:rsidP="00190633">
      <w:pPr>
        <w:pStyle w:val="SingleTxtG"/>
        <w:ind w:left="1686"/>
        <w:rPr>
          <w:rFonts w:eastAsia="AGaramond-Regular"/>
          <w:noProof/>
        </w:rPr>
      </w:pPr>
      <w:r>
        <w:t>(ii)</w:t>
      </w:r>
      <w:r>
        <w:tab/>
        <w:t xml:space="preserve">Pre- en postnatale dienstverlening, huisbezoeken, hoogwaardige ontwikkelingsprogramma's voor het jonge kind en trajecten om inkomen te genereren voor achterstandsgroepen; </w:t>
      </w:r>
    </w:p>
    <w:p w14:paraId="52624D6D" w14:textId="77777777" w:rsidR="00FB349E" w:rsidRPr="00417398" w:rsidRDefault="00190633" w:rsidP="00190633">
      <w:pPr>
        <w:pStyle w:val="SingleTxtG"/>
        <w:ind w:left="1686"/>
        <w:rPr>
          <w:rFonts w:eastAsia="AGaramond-Regular"/>
          <w:noProof/>
        </w:rPr>
      </w:pPr>
      <w:r>
        <w:t>(iii)</w:t>
      </w:r>
      <w:r>
        <w:tab/>
        <w:t xml:space="preserve">Meer samenhang tussen geestelijke gezondheidszorg, verslavingszorg en kinderbescherming; </w:t>
      </w:r>
    </w:p>
    <w:p w14:paraId="20412BA9" w14:textId="1099E0EF" w:rsidR="00FB349E" w:rsidRPr="00417398" w:rsidRDefault="00190633" w:rsidP="00190633">
      <w:pPr>
        <w:pStyle w:val="SingleTxtG"/>
        <w:ind w:left="1686"/>
        <w:rPr>
          <w:rFonts w:eastAsia="AGaramond-Regular"/>
          <w:noProof/>
        </w:rPr>
      </w:pPr>
      <w:r>
        <w:rPr>
          <w:shd w:val="clear" w:color="auto" w:fill="FFFFFF"/>
        </w:rPr>
        <w:t>(iv)</w:t>
      </w:r>
      <w:r>
        <w:rPr>
          <w:shd w:val="clear" w:color="auto" w:fill="FFFFFF"/>
        </w:rPr>
        <w:tab/>
      </w:r>
      <w:r>
        <w:t xml:space="preserve">Respijtprogramma's en centra voor gezinsondersteuning voor gezinnen in bijzonder moeilijke omstandigheden; </w:t>
      </w:r>
    </w:p>
    <w:p w14:paraId="7F34BCCB" w14:textId="77777777" w:rsidR="00FB349E" w:rsidRPr="00417398" w:rsidRDefault="00190633" w:rsidP="00190633">
      <w:pPr>
        <w:pStyle w:val="SingleTxtG"/>
        <w:ind w:left="1686"/>
        <w:rPr>
          <w:rFonts w:eastAsia="AGaramond-Regular"/>
          <w:noProof/>
        </w:rPr>
      </w:pPr>
      <w:r>
        <w:t>(v)</w:t>
      </w:r>
      <w:r>
        <w:tab/>
        <w:t>Opvangtehuizen en crisiscentra voor ouders (meestal vrouwen) die met huiselijk geweld te maken hebben gehad en hun kinderen;</w:t>
      </w:r>
    </w:p>
    <w:p w14:paraId="253BC61D" w14:textId="77777777" w:rsidR="005A0FD9" w:rsidRPr="00417398" w:rsidRDefault="00190633" w:rsidP="00190633">
      <w:pPr>
        <w:pStyle w:val="SingleTxtG"/>
        <w:ind w:left="1686"/>
        <w:rPr>
          <w:rFonts w:eastAsia="AGaramond-Regular"/>
          <w:noProof/>
        </w:rPr>
      </w:pPr>
      <w:r>
        <w:t>(vi)</w:t>
      </w:r>
      <w:r>
        <w:tab/>
        <w:t xml:space="preserve">Bijstand voor het gezin door maatregelen te nemen die de eenheid van het gezin bevorderen en ervoor zorgen dat kinderen hun rechten in de privéomgeving ten volle </w:t>
      </w:r>
      <w:r>
        <w:lastRenderedPageBreak/>
        <w:t>kunnen uitoefenen en genieten, afhankelijk van de omstandigheden zonder onnodige bemoeienis in de privérelatie tussen kinderen en hun gezin.</w:t>
      </w:r>
      <w:r w:rsidR="005A0FD9" w:rsidRPr="00417398">
        <w:rPr>
          <w:rStyle w:val="FootnoteReference"/>
          <w:rFonts w:eastAsia="AGaramond-Regular"/>
          <w:noProof/>
        </w:rPr>
        <w:footnoteReference w:id="21"/>
      </w:r>
    </w:p>
    <w:p w14:paraId="012BFE83" w14:textId="77777777" w:rsidR="00FB349E" w:rsidRPr="00417398" w:rsidRDefault="005A0FD9" w:rsidP="00FB349E">
      <w:pPr>
        <w:pStyle w:val="SingleTxtG"/>
        <w:ind w:firstLine="567"/>
        <w:rPr>
          <w:noProof/>
          <w:shd w:val="clear" w:color="auto" w:fill="FFFFFF"/>
        </w:rPr>
      </w:pPr>
      <w:r>
        <w:rPr>
          <w:shd w:val="clear" w:color="auto" w:fill="FFFFFF"/>
        </w:rPr>
        <w:t>(d)</w:t>
      </w:r>
      <w:r>
        <w:rPr>
          <w:shd w:val="clear" w:color="auto" w:fill="FFFFFF"/>
        </w:rPr>
        <w:tab/>
      </w:r>
      <w:r>
        <w:rPr>
          <w:i/>
          <w:iCs/>
          <w:shd w:val="clear" w:color="auto" w:fill="FFFFFF"/>
        </w:rPr>
        <w:t>Voor professionals en (overheids- en maatschappelijke) instellingen</w:t>
      </w:r>
      <w:r>
        <w:rPr>
          <w:shd w:val="clear" w:color="auto" w:fill="FFFFFF"/>
        </w:rPr>
        <w:t xml:space="preserve">: </w:t>
      </w:r>
    </w:p>
    <w:p w14:paraId="0FCF8F01" w14:textId="77777777" w:rsidR="00FB349E" w:rsidRPr="00417398" w:rsidRDefault="00190633" w:rsidP="00FB349E">
      <w:pPr>
        <w:pStyle w:val="SingleTxtG"/>
        <w:ind w:firstLine="567"/>
        <w:rPr>
          <w:noProof/>
        </w:rPr>
      </w:pPr>
      <w:r>
        <w:rPr>
          <w:shd w:val="clear" w:color="auto" w:fill="FFFFFF"/>
        </w:rPr>
        <w:t>(i)</w:t>
      </w:r>
      <w:r>
        <w:rPr>
          <w:shd w:val="clear" w:color="auto" w:fill="FFFFFF"/>
        </w:rPr>
        <w:tab/>
        <w:t xml:space="preserve">Preventiemogelijkheden vaststellen en beleid en praktijk daarover informeren </w:t>
      </w:r>
      <w:r>
        <w:t xml:space="preserve">op basis van </w:t>
      </w:r>
      <w:r>
        <w:rPr>
          <w:shd w:val="clear" w:color="auto" w:fill="FFFFFF"/>
        </w:rPr>
        <w:t>onderzoek en verzamelde gegevens;</w:t>
      </w:r>
      <w:r>
        <w:t xml:space="preserve"> </w:t>
      </w:r>
    </w:p>
    <w:p w14:paraId="28ADE1AC" w14:textId="77777777" w:rsidR="00FB349E" w:rsidRPr="00417398" w:rsidRDefault="00190633" w:rsidP="00FB349E">
      <w:pPr>
        <w:pStyle w:val="SingleTxtG"/>
        <w:ind w:firstLine="567"/>
        <w:rPr>
          <w:rFonts w:eastAsia="AGaramond-Regular"/>
          <w:noProof/>
        </w:rPr>
      </w:pPr>
      <w:r>
        <w:t>(ii)</w:t>
      </w:r>
      <w:r>
        <w:tab/>
        <w:t xml:space="preserve">Door middel van een groepsproces kinderbeschermingsbeleid en -procedures, ethische gedragscodes en zorgnormen op basis van de rechten van het kind invoeren; </w:t>
      </w:r>
    </w:p>
    <w:p w14:paraId="31B74D54" w14:textId="04ABB188" w:rsidR="005A0FD9" w:rsidRPr="00417398" w:rsidRDefault="00190633" w:rsidP="00FB349E">
      <w:pPr>
        <w:pStyle w:val="SingleTxtG"/>
        <w:ind w:firstLine="567"/>
        <w:rPr>
          <w:noProof/>
          <w:shd w:val="clear" w:color="auto" w:fill="FFFFFF"/>
        </w:rPr>
      </w:pPr>
      <w:r>
        <w:t>(iii)</w:t>
      </w:r>
      <w:r>
        <w:tab/>
        <w:t xml:space="preserve">Preventie van geweld in een zorg- of detentieomgeving door </w:t>
      </w:r>
      <w:r w:rsidR="00A74CCC">
        <w:t>o.a.</w:t>
      </w:r>
      <w:r>
        <w:t xml:space="preserve"> de ontwikkeling en invoering van door de gemeenschap gedragen dienstverlening om alleen gebruik te hoeven maken van institutionalisering en detentie als laatste redmiddel en alleen als dat in het belang van het kind is. </w:t>
      </w:r>
    </w:p>
    <w:p w14:paraId="601E566F" w14:textId="77777777" w:rsidR="005A0FD9" w:rsidRPr="00417398" w:rsidRDefault="005A0FD9" w:rsidP="00FB349E">
      <w:pPr>
        <w:pStyle w:val="SingleTxtG"/>
        <w:numPr>
          <w:ilvl w:val="0"/>
          <w:numId w:val="16"/>
        </w:numPr>
        <w:rPr>
          <w:noProof/>
        </w:rPr>
      </w:pPr>
      <w:r>
        <w:rPr>
          <w:b/>
          <w:iCs/>
          <w:shd w:val="clear" w:color="auto" w:fill="FFFFFF"/>
        </w:rPr>
        <w:t>Vaststelling risicofactoren</w:t>
      </w:r>
      <w:r w:rsidRPr="00417398">
        <w:rPr>
          <w:rStyle w:val="FootnoteReference"/>
          <w:iCs/>
          <w:noProof/>
          <w:shd w:val="clear" w:color="auto" w:fill="FFFFFF"/>
        </w:rPr>
        <w:footnoteReference w:id="22"/>
      </w:r>
      <w:r>
        <w:rPr>
          <w:shd w:val="clear" w:color="auto" w:fill="FFFFFF"/>
        </w:rPr>
        <w:t xml:space="preserve"> Daarbij hoort het vaststellen van de risicofactoren voor bepaalde kinderen of groepen van kinderen en verzorgers (om gerichte preventie-initiatieven in gang te zetten) en van tekenen van daadwerkelijke mishandeling (om zo vroeg mogelijk de juiste interventie in gang te zetten). Daarvoor is het nodig dat iedereen die in contact komt met kinderen zich bewust is van risicofactoren en indicatoren van alle vormen van geweld, instructies heeft gekregen over hoe die indicatoren geïnterpreteerd moeten worden en de noodzakelijke kennis, bereidheid en vermogen hebben om de juiste actie te ondernemen (zoals </w:t>
      </w:r>
      <w:r>
        <w:t>het bieden van noodbescherming). Kinderen moeten zoveel kansen krijgen als mogelijk is om problemen die zich voordoen te signaleren voor ze de status van crisis krijgen, en zodat volwassenen ze kunnen herkennen en ernaar kunnen handelen, zelfs als het kind niet expliciet om hulp vraagt. Bijzondere waakzaamheid is nodig als het om gemarginaliseerde groepen kinderen gaat die bijzonder kwetsbaar zijn vanwege hun andere manier van communiceren, hun niet mobiel zijn en/of het feit dat het lijkt alsof ze incompetent zijn, bijvoorbeeld kinderen met een handicap. Hun moeten redelijke mogelijkheden geboden worden om ervoor te zorgen dat ze kunnen communiceren en problemen kunnen aangeven op dezelfde manier als anderen.</w:t>
      </w:r>
    </w:p>
    <w:p w14:paraId="06E6CA64" w14:textId="77777777" w:rsidR="005A0FD9" w:rsidRPr="00417398" w:rsidRDefault="005A0FD9" w:rsidP="00FB349E">
      <w:pPr>
        <w:pStyle w:val="SingleTxtG"/>
        <w:numPr>
          <w:ilvl w:val="0"/>
          <w:numId w:val="16"/>
        </w:numPr>
        <w:rPr>
          <w:rFonts w:eastAsia="AGaramond-Regular"/>
          <w:noProof/>
        </w:rPr>
      </w:pPr>
      <w:r>
        <w:rPr>
          <w:b/>
          <w:iCs/>
        </w:rPr>
        <w:t>|Melden</w:t>
      </w:r>
      <w:r w:rsidRPr="00417398">
        <w:rPr>
          <w:rStyle w:val="FootnoteReference"/>
          <w:noProof/>
        </w:rPr>
        <w:footnoteReference w:id="23"/>
      </w:r>
      <w:r>
        <w:t xml:space="preserve"> Het uitdrukkelijke advies van de Commissie is dat alle Staten die partij zijn bij het Verdrag veilige, duidelijk gepubliceerde, vertrouwelijke en toegankelijke ondersteuningsmechanismen voor kinderen, hun vertegenwoordigers en anderen ontwikkelen voor het melden van geweld tegen kinderen, zoals het gebruik van de 24 uur per dag bereikbare gratis hotlines en andere ICT-middelen. Tot het opzetten van meldingsmechanismen behoort: (a) het geven van de juiste informatie om het indienen van een klacht te vergemakkelijken; (b) deelname aan onderzoeken en gerechtelijke procedures; (c) het ontwikkelen van protocollen die geschikt zijn voor verschillende omstandigheden en ruim bekend gemaakt worden aan kinderen en het grote publiek; (d) het opzetten van daarmee verband houdende ondersteunende diensten voor kinderen en gezinnen; en (e) training en voortdurende ondersteuning voor medewerkers om de informatie die via de meldsystemen binnenkomt te ontvangen en door te sturen. Meldingsmechanismen moeten gekoppeld zijn aan en eruit zien als op hulp gerichte diensten voor de volksgezondheid en maatschappelijke ondersteuning en niet als instanties die een respons in gang zetten die vooral bestraffend van aard is. Het recht van kinderen dat er naar hen geluisterd wordt en hun mening serieus </w:t>
      </w:r>
      <w:r>
        <w:lastRenderedPageBreak/>
        <w:t>genomen wordt dient gerespecteerd te worden. In ieder land dient het melden van voorvallen, vermoedens of het risico van geweld tenminste vereist te zijn door professionals die direct met kinderen werken. Als meldingen in goed vertrouwen worden gedaan, moeten er processen voorhanden zijn om de bescherming van de professional die de melding doet te beschermen.</w:t>
      </w:r>
    </w:p>
    <w:p w14:paraId="5EEF02E4" w14:textId="77777777" w:rsidR="005A0FD9" w:rsidRPr="00417398" w:rsidRDefault="005A0FD9" w:rsidP="00FB349E">
      <w:pPr>
        <w:pStyle w:val="SingleTxtG"/>
        <w:numPr>
          <w:ilvl w:val="0"/>
          <w:numId w:val="16"/>
        </w:numPr>
        <w:rPr>
          <w:noProof/>
        </w:rPr>
      </w:pPr>
      <w:r>
        <w:rPr>
          <w:b/>
          <w:iCs/>
        </w:rPr>
        <w:t>Verwijzing</w:t>
      </w:r>
      <w:r>
        <w:t xml:space="preserve"> De persoon die de melding ontvangt moet duidelijke instructies en training erover hebben gehad hoe en wanneer de zaak moet worden doorverwezen naar welke organisatie die de taak heeft de responsactie te coördineren. Hierna kan tussen sectoren verwezen worden door getrainde professionals en bestuurders als kinderen geacht worden (directe of langetermijn-)bescherming en gespecialiseerde ondersteuningsdiensten nodig te hebben. Professionals die werken met het kinderbeschermingssysteem moeten zijn opgeleid in samenwerking tussen de organisaties en samenwerkingsprotocollen. Dat proces houdt in: (a) een multidisciplinaire groepsbeoordeling van de korte- en langetermijnbehoeften van het kind, de verzorgers en het gezin, die de mening van zowel het kind vraagt en daar het benodigde belang aan hecht, als die van de verzorgers en het gezin; (b) het delen van de beoordelingsresultaten met het kind, de verzorgers en het gezin; (c) doorverwijzing van het kind en het gezin naar een reeks van diensten om aan die behoeften te voldoen; en (d) vervolg en evaluatie of de interventie adequaat was.</w:t>
      </w:r>
    </w:p>
    <w:p w14:paraId="124ED73F" w14:textId="02FDD06E" w:rsidR="005A0FD9" w:rsidRPr="00417398" w:rsidRDefault="005A0FD9" w:rsidP="00FB349E">
      <w:pPr>
        <w:pStyle w:val="SingleTxtG"/>
        <w:numPr>
          <w:ilvl w:val="0"/>
          <w:numId w:val="16"/>
        </w:numPr>
      </w:pPr>
      <w:r>
        <w:rPr>
          <w:b/>
          <w:iCs/>
        </w:rPr>
        <w:t>Onderzoek</w:t>
      </w:r>
      <w:r>
        <w:t xml:space="preserve"> van voorvallen van geweld, gemeld door het kind, een vertegenwoordiger of een externe partij, moet uitgevoerd worden door gekwalificeerde professionals die specifiek en uitgebreid voor die taak zijn opgeleid, en vraagt een op de rechten van het kind gebaseerde en op het kind gerichte aanpak. Rigoureuze maar op het kind gerichte onderzoeksprocedures moeten ervoor zorgen dat geweld correct wordt vastgesteld en moeten bewijs leveren voor administratieve, civielrechtelijke, kinderbeschermings- en strafrechtelijke procedures. Uiterst zorgvuldig dient vermeden te worden dat het kind wordt onderworpen aan verdere schade door het onderzoeksproces. Daartoe zijn alle partijen verplicht het benodigde belang te hechten aan de mening van het kind.</w:t>
      </w:r>
    </w:p>
    <w:p w14:paraId="75A44D5F" w14:textId="5E31B58B" w:rsidR="005A0FD9" w:rsidRPr="00417398" w:rsidRDefault="005A0FD9" w:rsidP="00FB349E">
      <w:pPr>
        <w:pStyle w:val="SingleTxtG"/>
        <w:numPr>
          <w:ilvl w:val="0"/>
          <w:numId w:val="16"/>
        </w:numPr>
      </w:pPr>
      <w:r>
        <w:rPr>
          <w:b/>
          <w:iCs/>
          <w:shd w:val="clear" w:color="auto" w:fill="FFFFFF"/>
        </w:rPr>
        <w:t>Behandeling</w:t>
      </w:r>
      <w:r>
        <w:rPr>
          <w:b/>
          <w:shd w:val="clear" w:color="auto" w:fill="FFFFFF"/>
        </w:rPr>
        <w:t>.</w:t>
      </w:r>
      <w:r>
        <w:rPr>
          <w:shd w:val="clear" w:color="auto" w:fill="FFFFFF"/>
        </w:rPr>
        <w:t xml:space="preserve"> “Behandeling” is een van de vele</w:t>
      </w:r>
      <w:r w:rsidR="00A74CCC">
        <w:rPr>
          <w:shd w:val="clear" w:color="auto" w:fill="FFFFFF"/>
        </w:rPr>
        <w:t xml:space="preserve"> </w:t>
      </w:r>
      <w:r>
        <w:t>diensten die nodig zijn om “lichamelijk en geestelijk herstel en sociale integratie te bevorderen”</w:t>
      </w:r>
      <w:r>
        <w:rPr>
          <w:shd w:val="clear" w:color="auto" w:fill="FFFFFF"/>
        </w:rPr>
        <w:t xml:space="preserve"> voor kinderen die geweld hebben meegemaakt en moet plaatsvinden “</w:t>
      </w:r>
      <w:r>
        <w:t>in een omgeving die gezondheid, zelfrespect en waardigheid van het kind koesteren” (art. 39).</w:t>
      </w:r>
      <w:r>
        <w:rPr>
          <w:shd w:val="clear" w:color="auto" w:fill="FFFFFF"/>
        </w:rPr>
        <w:t xml:space="preserve"> In dit opzicht moet er</w:t>
      </w:r>
      <w:r w:rsidR="00A74CCC">
        <w:rPr>
          <w:shd w:val="clear" w:color="auto" w:fill="FFFFFF"/>
        </w:rPr>
        <w:t xml:space="preserve"> </w:t>
      </w:r>
      <w:r>
        <w:t xml:space="preserve">aandacht te worden gegeven aan: (a) dat de mening van het kind wordt gevraagd en er voldoende belang aan wordt gehecht; (b) de veiligheid van het kind; (c) de mogelijke noodzaak van een directe veilige plaatsing; en (d) de voorspelbare invloeden van potentiële interventies op welzijn, gezondheid en ontwikkeling op de lange termijn van het kind. </w:t>
      </w:r>
      <w:r>
        <w:rPr>
          <w:shd w:val="clear" w:color="auto" w:fill="FFFFFF"/>
        </w:rPr>
        <w:t xml:space="preserve">Medische, geestelijke gezondheid, sociale en juridische hulpverlening en ondersteuning kunnen nodig zijn voor kinderen bij de vaststelling van misbruik, evenals langdurigere vervolghulp. </w:t>
      </w:r>
      <w:r>
        <w:t xml:space="preserve">Een heel scala aan diensten dient hun ter beschikking te staan, waaronder ook overleg met het hele gezin en andere soortgelijke praktijken. </w:t>
      </w:r>
      <w:r>
        <w:rPr>
          <w:shd w:val="clear" w:color="auto" w:fill="FFFFFF"/>
        </w:rPr>
        <w:t>Diensten en behandeling voor plegers van geweld, vooral jeugdige plegers, zijn ook nodig</w:t>
      </w:r>
      <w:r>
        <w:t>. Kinderen die agressief zijn tegen andere kinderen zijn vaak verstoken geweest van een gezins- en gemeenschapsomgeving die om hen geeft. Zij moeten beschouwd worden als slachtoffers van hun opvoedingsomstandigheden, die tot frustratie, haat en agressie bij ze hebben geleid. Opvoedkundige maatregelen moeten voorrang krijgen en gericht zijn op de verbetering van hun sociale houding, competenties en gedragingen. Tegelijkertijd moeten de levensomstandigheden van deze kinderen onderzocht worden om de zorg en steun voor hen te bevorderen en voor andere kinderen in het gezin en de buurt.</w:t>
      </w:r>
      <w:r>
        <w:rPr>
          <w:color w:val="FF0000"/>
        </w:rPr>
        <w:t xml:space="preserve"> </w:t>
      </w:r>
      <w:r>
        <w:t xml:space="preserve">Wat betreft kinderen die zichzelf schade berokkenen, wordt erkend dat dit het resultaat is van ernstige geestelijke pijn en kan veroorzaakt zijn door geweld door anderen. Zelfbeschadiging dient niet strafbaar gesteld te worden. Interventies dienen ondersteunend te zijn en op geen enkele manier bestraffend. </w:t>
      </w:r>
    </w:p>
    <w:p w14:paraId="3B392C46" w14:textId="77777777" w:rsidR="005A0FD9" w:rsidRPr="00417398" w:rsidRDefault="005A0FD9" w:rsidP="00FB349E">
      <w:pPr>
        <w:pStyle w:val="SingleTxtG"/>
        <w:numPr>
          <w:ilvl w:val="0"/>
          <w:numId w:val="16"/>
        </w:numPr>
        <w:rPr>
          <w:noProof/>
        </w:rPr>
      </w:pPr>
      <w:bookmarkStart w:id="63" w:name="_Ref286831141"/>
      <w:r>
        <w:rPr>
          <w:b/>
          <w:iCs/>
          <w:shd w:val="clear" w:color="auto" w:fill="FFFFFF"/>
        </w:rPr>
        <w:lastRenderedPageBreak/>
        <w:t>Vervolg</w:t>
      </w:r>
      <w:r>
        <w:t>. Het volgende moet altijd duidelijk zijn: (a) wie de verantwoordelijkheid voor het kind en het gezin heeft vanaf rapportage en doorverwijzing tot uiteindelijk het vervolg; (b) de doelen van ieder gekozen traject – dat volledig met het kind en andere relevante belanghebbenden besproken moet zijn; (c) de details, deadlines voor de implementatie en voorgestelde duur van een interventie; en (d) mechanismen en data voor het herbeoordelen, monitoren en evalueren van acties. Continuïteit tussen interventiestadia is essentieel en dit kan het beste bereikt worden door een casemanagementproces. Effectieve hulp vereist dat acties die eenmaal via een groepsproces besloten zijn, geen onnodige vertraging mogen lijden. Het vervolg moet gezien worden in de context van artikel 39 (herstel en re-integratie), artikel 25 (periodieke herbeoordeling van behandeling en plaatsingen), artikel 6.2 (recht op ontwikkeling) en artikelen 29 (doelen van de voorlichting met daarin de intenties en aspiraties voor ontwikkeling). Voor contact van het kind met beide ouders moet worden gezorgd volgens artikel 9 lid 3, tenzij dit indruist tegen het belang van het kind.</w:t>
      </w:r>
      <w:bookmarkEnd w:id="63"/>
      <w:r>
        <w:t xml:space="preserve"> </w:t>
      </w:r>
    </w:p>
    <w:p w14:paraId="1B644F86" w14:textId="77777777" w:rsidR="005A0FD9" w:rsidRPr="00417398" w:rsidRDefault="005A0FD9" w:rsidP="00FB349E">
      <w:pPr>
        <w:pStyle w:val="SingleTxtG"/>
        <w:numPr>
          <w:ilvl w:val="0"/>
          <w:numId w:val="16"/>
        </w:numPr>
      </w:pPr>
      <w:r>
        <w:rPr>
          <w:iCs/>
        </w:rPr>
        <w:t>Gerechtelijk optreden</w:t>
      </w:r>
      <w:r w:rsidRPr="00417398">
        <w:rPr>
          <w:rStyle w:val="FootnoteReference"/>
          <w:iCs/>
          <w:noProof/>
        </w:rPr>
        <w:footnoteReference w:id="24"/>
      </w:r>
      <w:r>
        <w:t xml:space="preserve"> Een goede rechtsgang moet te allen tijde en in alle gevallen in acht genomen worden. In het bijzonder de bescherming en verdere ontwikkeling van het kind en zijn of haar belang (en het belang van andere kinderen als er sprake kan zijn van een recidivekans) moet het primaire doel van de besluitvorming zijn, met aandacht voor de minst ingrijpende interventie die de omstandigheden toelaten. Voorts adviseert het Comité de volgende garanties te respecteren: </w:t>
      </w:r>
    </w:p>
    <w:p w14:paraId="724B9634" w14:textId="77777777" w:rsidR="005A0FD9" w:rsidRPr="00417398" w:rsidRDefault="001D3E1D" w:rsidP="00232856">
      <w:pPr>
        <w:pStyle w:val="SingleTxtG"/>
        <w:ind w:firstLine="567"/>
        <w:rPr>
          <w:noProof/>
        </w:rPr>
      </w:pPr>
      <w:r>
        <w:t>(a)</w:t>
      </w:r>
      <w:r>
        <w:tab/>
        <w:t xml:space="preserve">Kinderen en hun ouders dienen onverwijld en adequaat geïnformeerd te worden door het gerechtelijk apparaat of andere bevoegde autoriteiten (zoals de politie, de immigratiedienst, onderwijs-, sociale of gezondheidszorgdiensten); </w:t>
      </w:r>
    </w:p>
    <w:p w14:paraId="58CE3084" w14:textId="77777777" w:rsidR="005A0FD9" w:rsidRPr="00417398" w:rsidRDefault="001D3E1D" w:rsidP="00232856">
      <w:pPr>
        <w:pStyle w:val="SingleTxtG"/>
        <w:ind w:firstLine="567"/>
        <w:rPr>
          <w:noProof/>
        </w:rPr>
      </w:pPr>
      <w:r>
        <w:t>(b)</w:t>
      </w:r>
      <w:r>
        <w:tab/>
        <w:t>Kinderen die het slachtoffer zijn van geweld dienen in het gehele gerechtelijke proces behandeld te worden op een kindvriendelijke en kindgerichte manier, rekening houdend met hun persoonlijke situatie, behoeften, leeftijd, geslacht, beperking en niveau van volwassenheid en met volledig respect voor hun fysieke, mentale en morele integriteit;</w:t>
      </w:r>
    </w:p>
    <w:p w14:paraId="792819E2" w14:textId="77777777" w:rsidR="005A0FD9" w:rsidRPr="00417398" w:rsidRDefault="001D3E1D" w:rsidP="00232856">
      <w:pPr>
        <w:pStyle w:val="SingleTxtG"/>
        <w:ind w:firstLine="567"/>
        <w:rPr>
          <w:noProof/>
        </w:rPr>
      </w:pPr>
      <w:r>
        <w:t>(c)</w:t>
      </w:r>
      <w:r>
        <w:tab/>
        <w:t>Waar mogelijk dient de rechter er preventief bij betrokken te zijn, positief gedrag dient proactief te worden aangemoedigd en negatief gedrag verboden. Betrokkenheid van de rechter dient onderdeel van een gecoördineerde en geïntegreerde intersectorale aanpak te zijn, waarin andere professionals ondersteund en gefaciliteerd worden om met kinderen, verzorgers, gezinnen en gemeenschappen te werken, en het hele beschikbare scala aan zorg- en beschermingsdiensten voor het kind gefaciliteerd worden;</w:t>
      </w:r>
    </w:p>
    <w:p w14:paraId="1275DC74" w14:textId="77777777" w:rsidR="005A0FD9" w:rsidRPr="00417398" w:rsidRDefault="001D3E1D" w:rsidP="00232856">
      <w:pPr>
        <w:pStyle w:val="SingleTxtG"/>
        <w:ind w:firstLine="567"/>
        <w:rPr>
          <w:noProof/>
        </w:rPr>
      </w:pPr>
      <w:r>
        <w:t>(d)</w:t>
      </w:r>
      <w:r>
        <w:tab/>
        <w:t>In alle procedures met betrekking tot kinderen die het slachtoffer zijn van geweld moet het snelheidsbeginsel gelden met inachtneming van de rechtsorde.</w:t>
      </w:r>
    </w:p>
    <w:p w14:paraId="4E97109A" w14:textId="77777777" w:rsidR="005A0FD9" w:rsidRPr="00417398" w:rsidRDefault="005A0FD9" w:rsidP="00232856">
      <w:pPr>
        <w:pStyle w:val="SingleTxtG"/>
        <w:numPr>
          <w:ilvl w:val="0"/>
          <w:numId w:val="16"/>
        </w:numPr>
        <w:rPr>
          <w:noProof/>
        </w:rPr>
      </w:pPr>
      <w:r>
        <w:t>Gerechtelijk optreden kan bestaan uit het volgende:</w:t>
      </w:r>
      <w:r>
        <w:rPr>
          <w:i/>
        </w:rPr>
        <w:t xml:space="preserve"> </w:t>
      </w:r>
    </w:p>
    <w:p w14:paraId="1464C235" w14:textId="77777777" w:rsidR="005A0FD9" w:rsidRPr="00417398" w:rsidRDefault="001D3E1D" w:rsidP="00232856">
      <w:pPr>
        <w:pStyle w:val="SingleTxtG"/>
        <w:ind w:firstLine="567"/>
        <w:rPr>
          <w:noProof/>
        </w:rPr>
      </w:pPr>
      <w:r>
        <w:t>(a)</w:t>
      </w:r>
      <w:r>
        <w:tab/>
        <w:t>Gedifferentieerde hulp door middel van bemiddeling zoals overleg met het hele gezin, alternatieve mechanismen voor het oplossen van geschillen, herstelrecht en afspraken met vrienden en familie (waarbij de processen de mensenrechten respecteren, verantwoording afleggen en onder leiding staan van getrainde gespreksleiders);</w:t>
      </w:r>
    </w:p>
    <w:p w14:paraId="787B320F" w14:textId="77777777" w:rsidR="005A0FD9" w:rsidRPr="00417398" w:rsidRDefault="001D3E1D" w:rsidP="00232856">
      <w:pPr>
        <w:pStyle w:val="SingleTxtG"/>
        <w:ind w:firstLine="567"/>
        <w:rPr>
          <w:noProof/>
        </w:rPr>
      </w:pPr>
      <w:r>
        <w:t>(b)</w:t>
      </w:r>
      <w:r>
        <w:tab/>
        <w:t>Interventie door de rechter of kinderrechter uitmondend in een specifieke maatregel van kinderbescherming;</w:t>
      </w:r>
    </w:p>
    <w:p w14:paraId="293C5C3E" w14:textId="77777777" w:rsidR="005A0FD9" w:rsidRPr="00417398" w:rsidRDefault="001D3E1D" w:rsidP="00232856">
      <w:pPr>
        <w:pStyle w:val="SingleTxtG"/>
        <w:ind w:firstLine="567"/>
        <w:rPr>
          <w:noProof/>
        </w:rPr>
      </w:pPr>
      <w:r>
        <w:t>(c)</w:t>
      </w:r>
      <w:r>
        <w:tab/>
        <w:t xml:space="preserve">Strafrechtelijke procedures, die strikt moeten worden toegepast om de wijdverbreide praktijk van juridische of feitelijke straffeloosheid, met name van overheidsactoren, af te schaffen; </w:t>
      </w:r>
    </w:p>
    <w:p w14:paraId="0BAB747E" w14:textId="77777777" w:rsidR="005A0FD9" w:rsidRPr="00417398" w:rsidRDefault="001D3E1D" w:rsidP="00232856">
      <w:pPr>
        <w:pStyle w:val="SingleTxtG"/>
        <w:ind w:firstLine="567"/>
        <w:rPr>
          <w:noProof/>
        </w:rPr>
      </w:pPr>
      <w:r>
        <w:lastRenderedPageBreak/>
        <w:t>(d)</w:t>
      </w:r>
      <w:r>
        <w:tab/>
        <w:t>Tuchtrechtelijke of administratieve procedures tegen professionals wegens nalatigheid of ongepast gedrag bij de behandeling van verdachte gevallen van kindermishandeling (hetzij interne procedures in het kader van beroepsorganisaties voor schendingen van gedragscodes of zorgnormen, of externe procedures);</w:t>
      </w:r>
    </w:p>
    <w:p w14:paraId="4BA0C191" w14:textId="77777777" w:rsidR="005A0FD9" w:rsidRPr="00417398" w:rsidRDefault="001D3E1D" w:rsidP="00232856">
      <w:pPr>
        <w:pStyle w:val="SingleTxtG"/>
        <w:ind w:firstLine="567"/>
        <w:rPr>
          <w:noProof/>
        </w:rPr>
      </w:pPr>
      <w:r>
        <w:t>(e)</w:t>
      </w:r>
      <w:r>
        <w:tab/>
        <w:t>Gerechtelijke beschikkingen om te zorgen voor compensatie en rehabilitatie voor kinderen die het slachtoffer zijn geweest van geweld in zijn verschillende vormen.</w:t>
      </w:r>
    </w:p>
    <w:p w14:paraId="712EAF90" w14:textId="77777777" w:rsidR="005A0FD9" w:rsidRPr="00417398" w:rsidRDefault="005A0FD9" w:rsidP="00232856">
      <w:pPr>
        <w:pStyle w:val="SingleTxtG"/>
        <w:numPr>
          <w:ilvl w:val="0"/>
          <w:numId w:val="16"/>
        </w:numPr>
        <w:rPr>
          <w:noProof/>
        </w:rPr>
      </w:pPr>
      <w:r>
        <w:t>In voorkomend geval dienen jeugdrechters of speciale rechtbanken voor familierecht en strafrechtelijke procedures te worden ingesteld voor minderjarige slachtoffers van geweld. Dit kan onder meer het instellen van gespecialiseerde eenheden bij politie, justitie en het openbaar ministerie betekenen, met de mogelijkheid om tijdens het gerechtelijke proces voorzieningen aan te bieden om te zorgen voor een gelijke en eerlijke deelname van kinderen met een handicap. Alle professionals die met en voor kinderen werken en die bij dergelijke gevallen zijn betrokken, moeten een specifieke interdisciplinaire training krijgen over de rechten en behoeften van kinderen van verschillende leeftijdsgroepen, en over procedures die daarop zijn afgestemd. Bij de invoering van een multidisciplinaire aanpak moeten professionele regels inzake vertrouwelijkheid in acht worden genomen. Het besluit om een kind te scheiden van zijn of haar ouder (s) of gezinsomgeving mag alleen worden genomen als het in het belang van het kind is (art. 9 en art. 20, lid 1). Echter, in gevallen van geweld waarbij daders primaire verzorgers zijn, binnen de bovenvermelde kinderrechtenwaarborgen en afhankelijk van de ernst en andere factoren, hebben interventiemaatregelen gericht op sociale en educatieve behandeling en een restauratieve benadering vaak de voorkeur boven gerechtelijk optreden puur als straf. Er dienen effectieve corrigerende maatregelen te zijn, zoals compensatie aan slachtoffers en toegang tot verhaalprocedures en beroep of onafhankelijke klachtenprocedures.</w:t>
      </w:r>
    </w:p>
    <w:p w14:paraId="271229FD" w14:textId="2C909824" w:rsidR="00232856" w:rsidRPr="00417398" w:rsidRDefault="005A0FD9" w:rsidP="00232856">
      <w:pPr>
        <w:pStyle w:val="SingleTxtG"/>
        <w:numPr>
          <w:ilvl w:val="0"/>
          <w:numId w:val="16"/>
        </w:numPr>
        <w:rPr>
          <w:noProof/>
          <w:shd w:val="clear" w:color="auto" w:fill="FFFFFF"/>
        </w:rPr>
      </w:pPr>
      <w:r>
        <w:rPr>
          <w:rStyle w:val="H23GChar"/>
        </w:rPr>
        <w:t>Effectieve procedures</w:t>
      </w:r>
      <w:r>
        <w:rPr>
          <w:shd w:val="clear" w:color="auto" w:fill="FFFFFF"/>
        </w:rPr>
        <w:t xml:space="preserve"> Dergelijke beschermende maatregelen als genoemd in artikel 19.1 en 19.2 en die onderdeel zijn van een systeembouwbenadering (zie par. </w:t>
      </w:r>
      <w:r w:rsidR="00E551E3" w:rsidRPr="00417398">
        <w:rPr>
          <w:shd w:val="clear" w:color="auto" w:fill="FFFFFF"/>
        </w:rPr>
        <w:fldChar w:fldCharType="begin"/>
      </w:r>
      <w:r w:rsidR="00E551E3" w:rsidRPr="00417398">
        <w:rPr>
          <w:shd w:val="clear" w:color="auto" w:fill="FFFFFF"/>
        </w:rPr>
        <w:instrText xml:space="preserve"> REF _Ref286848847 \r \h </w:instrText>
      </w:r>
      <w:r w:rsidR="00E551E3" w:rsidRPr="00417398">
        <w:rPr>
          <w:shd w:val="clear" w:color="auto" w:fill="FFFFFF"/>
        </w:rPr>
      </w:r>
      <w:r w:rsidR="00E551E3" w:rsidRPr="00417398">
        <w:rPr>
          <w:shd w:val="clear" w:color="auto" w:fill="FFFFFF"/>
        </w:rPr>
        <w:fldChar w:fldCharType="separate"/>
      </w:r>
      <w:r w:rsidR="00A74CCC">
        <w:rPr>
          <w:shd w:val="clear" w:color="auto" w:fill="FFFFFF"/>
        </w:rPr>
        <w:t>71</w:t>
      </w:r>
      <w:r w:rsidR="00E551E3" w:rsidRPr="00417398">
        <w:rPr>
          <w:shd w:val="clear" w:color="auto" w:fill="FFFFFF"/>
        </w:rPr>
        <w:fldChar w:fldCharType="end"/>
      </w:r>
      <w:r>
        <w:rPr>
          <w:shd w:val="clear" w:color="auto" w:fill="FFFFFF"/>
        </w:rPr>
        <w:t xml:space="preserve">), vereisen “effectieve procedures” om de handhaving, kwaliteit, relevantie, toegankelijkheid, impact en efficiëntie ervan te waarborgen. Onderdeel van dergelijke procedures dienen te zijn: </w:t>
      </w:r>
    </w:p>
    <w:p w14:paraId="7EE1A05B" w14:textId="77777777" w:rsidR="00232856" w:rsidRPr="00417398" w:rsidRDefault="00E551E3" w:rsidP="00232856">
      <w:pPr>
        <w:pStyle w:val="SingleTxtG"/>
        <w:ind w:firstLine="567"/>
        <w:rPr>
          <w:noProof/>
          <w:shd w:val="clear" w:color="auto" w:fill="FFFFFF"/>
        </w:rPr>
      </w:pPr>
      <w:r>
        <w:rPr>
          <w:shd w:val="clear" w:color="auto" w:fill="FFFFFF"/>
        </w:rPr>
        <w:t>(a)</w:t>
      </w:r>
      <w:r>
        <w:rPr>
          <w:shd w:val="clear" w:color="auto" w:fill="FFFFFF"/>
        </w:rPr>
        <w:tab/>
        <w:t xml:space="preserve">Intersectorale coördinatie, opgelegd door protocollen en memoranda van overeenkomst waar van toepassing; </w:t>
      </w:r>
    </w:p>
    <w:p w14:paraId="30D1ADE8" w14:textId="77777777" w:rsidR="00232856" w:rsidRPr="00417398" w:rsidRDefault="00E551E3" w:rsidP="00232856">
      <w:pPr>
        <w:pStyle w:val="SingleTxtG"/>
        <w:ind w:firstLine="567"/>
        <w:rPr>
          <w:noProof/>
        </w:rPr>
      </w:pPr>
      <w:r>
        <w:rPr>
          <w:shd w:val="clear" w:color="auto" w:fill="FFFFFF"/>
        </w:rPr>
        <w:t>(b)</w:t>
      </w:r>
      <w:r>
        <w:rPr>
          <w:shd w:val="clear" w:color="auto" w:fill="FFFFFF"/>
        </w:rPr>
        <w:tab/>
        <w:t xml:space="preserve">De </w:t>
      </w:r>
      <w:r>
        <w:t xml:space="preserve">ontwikkeling en invoer van systematische en voortdurende verzameling en analyse van gegevens; </w:t>
      </w:r>
    </w:p>
    <w:p w14:paraId="77097804" w14:textId="77777777" w:rsidR="00232856" w:rsidRPr="00417398" w:rsidRDefault="00E551E3" w:rsidP="00232856">
      <w:pPr>
        <w:pStyle w:val="SingleTxtG"/>
        <w:ind w:firstLine="567"/>
        <w:rPr>
          <w:noProof/>
          <w:shd w:val="clear" w:color="auto" w:fill="FFFFFF"/>
        </w:rPr>
      </w:pPr>
      <w:r>
        <w:t>(c)</w:t>
      </w:r>
      <w:r>
        <w:tab/>
        <w:t>De ontwikkeling en invoer van een onderzoeksagenda</w:t>
      </w:r>
      <w:r>
        <w:rPr>
          <w:shd w:val="clear" w:color="auto" w:fill="FFFFFF"/>
        </w:rPr>
        <w:t xml:space="preserve">; en </w:t>
      </w:r>
    </w:p>
    <w:p w14:paraId="414E3062" w14:textId="77777777" w:rsidR="005A0FD9" w:rsidRPr="00417398" w:rsidRDefault="00E551E3" w:rsidP="00232856">
      <w:pPr>
        <w:pStyle w:val="SingleTxtG"/>
        <w:ind w:firstLine="567"/>
        <w:rPr>
          <w:noProof/>
          <w:shd w:val="clear" w:color="auto" w:fill="FFFFFF"/>
        </w:rPr>
      </w:pPr>
      <w:r>
        <w:rPr>
          <w:shd w:val="clear" w:color="auto" w:fill="FFFFFF"/>
        </w:rPr>
        <w:t>(d)</w:t>
      </w:r>
      <w:r>
        <w:rPr>
          <w:shd w:val="clear" w:color="auto" w:fill="FFFFFF"/>
        </w:rPr>
        <w:tab/>
        <w:t xml:space="preserve">De ontwikkeling van meetbare doelen en indicatoren met betrekking tot beleid, processen en uitkomsten voor kinderen en gezinnen. </w:t>
      </w:r>
    </w:p>
    <w:p w14:paraId="6FA2EE0D" w14:textId="487C8CCE" w:rsidR="005A0FD9" w:rsidRPr="00417398" w:rsidRDefault="005A0FD9" w:rsidP="00232856">
      <w:pPr>
        <w:pStyle w:val="SingleTxtG"/>
        <w:numPr>
          <w:ilvl w:val="0"/>
          <w:numId w:val="16"/>
        </w:numPr>
        <w:rPr>
          <w:noProof/>
        </w:rPr>
      </w:pPr>
      <w:r>
        <w:t xml:space="preserve">De resulterende indicatoren moeten gericht zijn op positieve ontwikkeling en welzijn van het kind als een persoon met rechten, voorbij een uitsluitend enge gerichtheid op incidentie, gangbaarheid en soorten of mate van geweld. Rekening moet ook gehouden worden met beoordelingen van kindersterfte, kritiek letsel, lijkschouwingen en beoordelingen van het systeem bij het vaststellen van de onderliggende oorzaken van geweld in bij het adviseren van corrigerende maatregelen. Onderzoek moet voortbouwen op de bestaande internationale en landelijke kennis over de bescherming van kinderen en profiteren van interdisciplinaire en internationale samenwerking om zo complementair mogelijk te kunnen zijn. (Zie ook par. </w:t>
      </w:r>
      <w:r w:rsidR="0068194F" w:rsidRPr="00417398">
        <w:fldChar w:fldCharType="begin"/>
      </w:r>
      <w:r w:rsidR="0068194F" w:rsidRPr="00417398">
        <w:instrText xml:space="preserve"> REF _Ref286833420 \r \h </w:instrText>
      </w:r>
      <w:r w:rsidR="0068194F" w:rsidRPr="00417398">
        <w:fldChar w:fldCharType="separate"/>
      </w:r>
      <w:r w:rsidR="00A74CCC">
        <w:t>72</w:t>
      </w:r>
      <w:r w:rsidR="0068194F" w:rsidRPr="00417398">
        <w:fldChar w:fldCharType="end"/>
      </w:r>
      <w:r>
        <w:t xml:space="preserve"> (j) inzake verantwoordelijkheid met betrekking tot landelijke coördinatiekaders).</w:t>
      </w:r>
    </w:p>
    <w:p w14:paraId="58934961" w14:textId="77777777" w:rsidR="005A0FD9" w:rsidRPr="00417398" w:rsidRDefault="00232856" w:rsidP="00232856">
      <w:pPr>
        <w:pStyle w:val="HChG"/>
        <w:rPr>
          <w:noProof/>
        </w:rPr>
      </w:pPr>
      <w:r>
        <w:lastRenderedPageBreak/>
        <w:tab/>
      </w:r>
      <w:bookmarkStart w:id="64" w:name="_Toc285723377"/>
      <w:bookmarkStart w:id="65" w:name="_Toc285724532"/>
      <w:bookmarkStart w:id="66" w:name="_Toc285724592"/>
      <w:bookmarkStart w:id="67" w:name="_Toc285724739"/>
      <w:bookmarkStart w:id="68" w:name="_Toc285724997"/>
      <w:r>
        <w:t>V.</w:t>
      </w:r>
      <w:r>
        <w:tab/>
        <w:t>Interpretatie van artikel 19 in de bredere context van het Verdrag</w:t>
      </w:r>
      <w:bookmarkEnd w:id="64"/>
      <w:bookmarkEnd w:id="65"/>
      <w:bookmarkEnd w:id="66"/>
      <w:bookmarkEnd w:id="67"/>
      <w:bookmarkEnd w:id="68"/>
    </w:p>
    <w:p w14:paraId="2572F45E" w14:textId="77777777" w:rsidR="005A0FD9" w:rsidRPr="00417398" w:rsidRDefault="005A0FD9" w:rsidP="00232856">
      <w:pPr>
        <w:pStyle w:val="SingleTxtG"/>
        <w:numPr>
          <w:ilvl w:val="0"/>
          <w:numId w:val="16"/>
        </w:numPr>
        <w:rPr>
          <w:noProof/>
        </w:rPr>
      </w:pPr>
      <w:r>
        <w:rPr>
          <w:rStyle w:val="H23GChar"/>
        </w:rPr>
        <w:t xml:space="preserve">Definitie van een aanpak op basis van kinderrechten </w:t>
      </w:r>
      <w:r>
        <w:t xml:space="preserve">Respect voor waardigheid, leven, overleven, welzijn, gezondheid, ontwikkeling, medezeggenschap en niet-discriminatie van het kind als een persoon met rechten dient te worden vastgelegd en bepleit als het doel bij uitstek van het beleid met betrekking tot kinderen van Staten die partij zijn bij het Verdrag. Dit kan het best verwezenlijkt worden door alle rechten in het Verdrag (en de bijbehorende Optionele Protocollen) te respecteren, beschermen en vervullen. Er is een paradigmaverschuiving voor nodig van een benadering van kinderbescherming waarbij kinderen gezien en behandeld worden als "voorwerpen” die hulp nodig hebben in plaats van als houders van rechten die een recht op bescherming hebben dat niet onderhandelbaar is. Een benadering van kinderrechten is een benadering die de verwezenlijking van de rechten van alle kinderen bevordert zoals beschreven in het Verdrag, door het vermogen te ontwikkelen van plichtdragers om te voldoen aan hun verplichtingen om rechten te respecteren, beschermen en vervullen (art. 4) en het vermogen van de houders van de rechten om een beroep te doen op hun rechten, te allen tijde geleid door het recht op gelijkheid (art. 2), rekening houdend met het belang van het kind (art. 3, lid  1), leven, overleven en ontwikkeling (art. 6), en respect voor de mening van het kind (art. 12). Kinderen hebben ook het recht op aansturing en leiding bij het uitoefenen van hun rechten door verzorgers, ouders en leden van de gemeenschap, overeenkomstig de zich ontwikkelende capaciteiten van kinderen (art. 5). Dit is een holistische benadering van kinderrechten en legt de nadruk op het ondersteunen van de sterke punten en hulpbronnen van het kind zelf en alle sociale systemen waar het kind deel van uitmaakt: gezin, school, gemeenschap, instellingen, religieuze en culturele systemen. </w:t>
      </w:r>
    </w:p>
    <w:p w14:paraId="461583BA" w14:textId="4A89AAFB" w:rsidR="005A0FD9" w:rsidRPr="00417398" w:rsidRDefault="005A0FD9" w:rsidP="00232856">
      <w:pPr>
        <w:pStyle w:val="SingleTxtG"/>
        <w:numPr>
          <w:ilvl w:val="0"/>
          <w:numId w:val="16"/>
        </w:numPr>
        <w:rPr>
          <w:noProof/>
        </w:rPr>
      </w:pPr>
      <w:r>
        <w:rPr>
          <w:rStyle w:val="H23GChar"/>
        </w:rPr>
        <w:t>Artikel 2 (geen discriminatie)</w:t>
      </w:r>
      <w:r>
        <w:t xml:space="preserve"> De Commissie benadrukt dat Staten die partij zijn bij het Verdrag verplicht zijn adequate maatregelen te nemen om het recht te waarborgen voor ieder kind op bescherming tegen alle vormen van geweld, “zonder onderscheid van welke aard dan ook, ongeacht ras, kleur, geslacht, taal, geloof, politiek of andere overtuiging, nationaliteit, etnische of sociale achtergrond, vermogen, handicap, geboorte of andere status” van het kind of zijn of haar ouder of wettelijk voogd. Hieronder valt ook discriminatie op basis van vooroordelen tegen commercieel seksueel uitgebuite kinderen, kinderen die op straat leven of kinderen die in aanraking zijn of zijn geweest met de wet of op basis van kleding en gedrag van kinderen. Staten die partij zijn bij het Verdrag moeten discriminatie van kwetsbare of gemarginaliseerde groepen kinderen zoals aangegeven in paragraaf </w:t>
      </w:r>
      <w:r w:rsidR="0059467E" w:rsidRPr="00417398">
        <w:fldChar w:fldCharType="begin"/>
      </w:r>
      <w:r w:rsidR="0059467E" w:rsidRPr="00417398">
        <w:instrText xml:space="preserve"> REF _Ref286833420 \r \h </w:instrText>
      </w:r>
      <w:r w:rsidR="0059467E" w:rsidRPr="00417398">
        <w:fldChar w:fldCharType="separate"/>
      </w:r>
      <w:r w:rsidR="00A74CCC">
        <w:t>72</w:t>
      </w:r>
      <w:r w:rsidR="0059467E" w:rsidRPr="00417398">
        <w:fldChar w:fldCharType="end"/>
      </w:r>
      <w:r>
        <w:t xml:space="preserve"> (g) van dit General Comment aanpakken en zich proactief inspannen om ervoor te zorgen dat voor dergelijke kinderen hun recht op bescherming gewaarborgd is op dezelfde basis als voor alle andere kinderen.</w:t>
      </w:r>
    </w:p>
    <w:p w14:paraId="426B5EA5" w14:textId="77777777" w:rsidR="005A0FD9" w:rsidRPr="00417398" w:rsidRDefault="005A0FD9" w:rsidP="00232856">
      <w:pPr>
        <w:pStyle w:val="SingleTxtG"/>
        <w:numPr>
          <w:ilvl w:val="0"/>
          <w:numId w:val="16"/>
        </w:numPr>
        <w:rPr>
          <w:noProof/>
        </w:rPr>
      </w:pPr>
      <w:r>
        <w:rPr>
          <w:rStyle w:val="H23GChar"/>
        </w:rPr>
        <w:t>Artikel 3 (belang van het kind)</w:t>
      </w:r>
      <w:r>
        <w:t xml:space="preserve"> Het Comité benadrukt dat de interpretatie van het belang van het kind moet stroken met het hele Verdrag, met inbegrip van de verplichting kinderen tegen alle vormen van geweld te beschermen. De interpretatie mag niet worden gebruikt om praktijken zoals lijfstraffen en andere vormen van wrede of vernederende bestraffing die strijdig zijn met de menselijke waardigheid en het recht op lichamelijke integriteit van het kind te rechtvaardigen. De beoordeling door een volwassene van het belang van het kind kan niet voorbijgaan aan de verplichting alle kinderrechten uit hoofde van het Verdrag te respecteren. De Commissie stelt 0specifiek dat het belang van het kind het best wordt gediend door:</w:t>
      </w:r>
    </w:p>
    <w:p w14:paraId="2C1AC53F" w14:textId="77777777" w:rsidR="005A0FD9" w:rsidRPr="00417398" w:rsidRDefault="0059467E" w:rsidP="00232856">
      <w:pPr>
        <w:pStyle w:val="SingleTxtG"/>
        <w:ind w:firstLine="567"/>
        <w:rPr>
          <w:noProof/>
        </w:rPr>
      </w:pPr>
      <w:r>
        <w:t>(a)</w:t>
      </w:r>
      <w:r>
        <w:tab/>
        <w:t xml:space="preserve">het voorkomen van alle vormen van geweld en de bevordering van een positieve opvoeding van het kind, met de nadruk op de noodzaak van de focus op primaire preventie in landelijke coördinatiekaders; </w:t>
      </w:r>
    </w:p>
    <w:p w14:paraId="1A0DCB8B" w14:textId="77777777" w:rsidR="005A0FD9" w:rsidRPr="00417398" w:rsidRDefault="0059467E" w:rsidP="00232856">
      <w:pPr>
        <w:pStyle w:val="SingleTxtG"/>
        <w:ind w:firstLine="567"/>
        <w:rPr>
          <w:noProof/>
        </w:rPr>
      </w:pPr>
      <w:r>
        <w:lastRenderedPageBreak/>
        <w:t>(b)</w:t>
      </w:r>
      <w:r>
        <w:tab/>
        <w:t>Adequate investering in menselijke, financiële en technische middelen die worden ingezet voor de invoering van een geïntegreerd beschermings- en ondersteuningssysteem op basis van kinderrechten.</w:t>
      </w:r>
    </w:p>
    <w:p w14:paraId="1E465C2E" w14:textId="77777777" w:rsidR="005A0FD9" w:rsidRPr="00417398" w:rsidRDefault="005A0FD9" w:rsidP="001F5123">
      <w:pPr>
        <w:pStyle w:val="SingleTxtG"/>
        <w:numPr>
          <w:ilvl w:val="0"/>
          <w:numId w:val="16"/>
        </w:numPr>
        <w:rPr>
          <w:noProof/>
        </w:rPr>
      </w:pPr>
      <w:r>
        <w:rPr>
          <w:rStyle w:val="H23GChar"/>
        </w:rPr>
        <w:t>Artikel 6 (leven, overleven en ontwikkeling)</w:t>
      </w:r>
      <w:r>
        <w:t xml:space="preserve"> Bescherming tegen alle vormen van geweld moet niet alleen beschouwd worden in het kader van de rechten van het kind op “leven”, en “overleven”, maar ook in het kader van “ontwikkeling”, hetgeen geïnterpreteerd moet worden overeenkomstig het algehele doel van kinderbescherming. Zodoende omvat de verplichting van de Staat die partij is bij het Verdrag uitgebreide bescherming tegen geweld en uitbuiting die het recht op leven, overleven en ontwikkeling van een kind in gevaar zouden brengen.</w:t>
      </w:r>
      <w:r>
        <w:rPr>
          <w:color w:val="000000"/>
        </w:rPr>
        <w:t xml:space="preserve"> </w:t>
      </w:r>
      <w:r>
        <w:t xml:space="preserve">De Commissie verwacht van Staten die partij zijn bij het Verdrag dat zij “ontwikkeling” in de breedste zin interpreteren als een holistisch begrip, waarbij de lichamelijke, mentale, geestelijke, morele, psychologische en sociale ontwikkeling van het kind omarmd wordt. Implementatiemaatregelen dienen gericht te zijn op het bereiken van een optimale ontwikkeling voor alle kinderen. </w:t>
      </w:r>
    </w:p>
    <w:p w14:paraId="0C4B0B88" w14:textId="77777777" w:rsidR="005A0FD9" w:rsidRPr="00417398" w:rsidRDefault="005A0FD9" w:rsidP="00232856">
      <w:pPr>
        <w:pStyle w:val="SingleTxtG"/>
        <w:numPr>
          <w:ilvl w:val="0"/>
          <w:numId w:val="16"/>
        </w:numPr>
        <w:rPr>
          <w:noProof/>
        </w:rPr>
      </w:pPr>
      <w:r>
        <w:rPr>
          <w:rStyle w:val="H23GChar"/>
        </w:rPr>
        <w:t>Artikel 12 (recht om gehoord te worden)</w:t>
      </w:r>
      <w:r>
        <w:rPr>
          <w:b/>
        </w:rPr>
        <w:t xml:space="preserve"> </w:t>
      </w:r>
      <w:r>
        <w:t xml:space="preserve">Het Comité is van mening dat medezeggenschap van een kind bescherming bevordert en bescherming van kinderen is heel belangrijk voor medezeggenschap. Het recht van het kind om gehoord te worden begint al bij heel jonge kinderen die in het bijzonder kwetsbaar zijn voor geweld. De mening van kinderen moet worden gevraagd en er moet het benodigde belang aan worden gehecht als een verplichte stap op elk moment in een kinderbeschermingsproces. Het recht van het kind om gehoord te worden is bijzonder relevant in situaties van geweld (zie General Comment van het Comité nr. 12 (2009) par. 118 e.v.). Met betrekking tot het gezin en het opvoeden van kinderen heeft het Comité gezegd dat dit recht een preventieve rol speelt tegen alle vormen van geweld thuis en in het gezin. Het Comité onderstreept voorts het belang van medezeggenschap van kinderen bij de ontwikkeling van preventiebeleid in het algemeen en op school, in het bijzonder voor wat betreft de uitbanning en preventie van pesten en andere vormen van geweld op school. Initiatieven en programma's die zijn gericht op het versterken van het eigen vermogen van kinderen om geweld uit te bannen dienen ondersteund te worden. Omdat het ervaren van geweld inherent onmondig maakt, zijn gerichte maatregelen nodig om ervoor te zorgen dat de interventies ter bescherming van het kind kinderen niet verder onmondig maken maar eerder positief bijdragen aan hun herstel en re-integratie via zorgvuldig gefaciliteerde medezeggenschap. Het Comité merkt op dat er voor bijzonder gemarginaliseerde en/of gediscrimineerde groepen barrières bestaan voor medezeggenschap. De aanpak van deze barrières is vooral relevant voor de bescherming van kinderen, omdat dergelijke kinderen vaak de kinderen zijn die het meeste last hebben van geweld. </w:t>
      </w:r>
    </w:p>
    <w:p w14:paraId="36062A70" w14:textId="77777777" w:rsidR="005A0FD9" w:rsidRPr="00417398" w:rsidRDefault="005A0FD9" w:rsidP="00232856">
      <w:pPr>
        <w:pStyle w:val="SingleTxtG"/>
        <w:numPr>
          <w:ilvl w:val="0"/>
          <w:numId w:val="16"/>
        </w:numPr>
        <w:rPr>
          <w:bCs/>
          <w:noProof/>
        </w:rPr>
      </w:pPr>
      <w:r>
        <w:t xml:space="preserve">De volgende twee artikelen van het Verdrag hebben ook een alomvattende relevantie die ze bijzonder belangrijk maakt voor de realisatie van artikel 19. </w:t>
      </w:r>
    </w:p>
    <w:p w14:paraId="2596CFD9" w14:textId="77777777" w:rsidR="005A0FD9" w:rsidRPr="00417398" w:rsidRDefault="005A0FD9" w:rsidP="00232856">
      <w:pPr>
        <w:pStyle w:val="SingleTxtG"/>
        <w:numPr>
          <w:ilvl w:val="0"/>
          <w:numId w:val="16"/>
        </w:numPr>
        <w:rPr>
          <w:noProof/>
        </w:rPr>
      </w:pPr>
      <w:r>
        <w:rPr>
          <w:rStyle w:val="H23GChar"/>
        </w:rPr>
        <w:t xml:space="preserve">Artikel 4 (passende maatregelen) </w:t>
      </w:r>
      <w:r>
        <w:t>Artikel 4 verplicht Staten die partij zijn bij het Verdrag alle benodigde maatregelen te nemen om alle rechten uit hoofde van het Verdrag ten uitvoer te leggen, waaronder artikel 19. Bij de toepassing van artikel 4 van het Verdrag moet worden opgemerkt dat het recht op bescherming tegen alle vormen van geweld als uiteengezet in artikel 19 een burgerrecht en vrijheid is. De tenuitvoerlegging van artikel 19 is daarom een onmiddellijke en onvoorwaardelijke verplichting van Staten die partij zijn. In het licht van artikel 4 zijn Staten die partij zijn verplicht, wat ook hun economische omstandigheden mogen zijn, alle mogelijke maatregelen te nemen voor de verwezenlijking van de rechten van het kind, met speciale aandacht voor de meest achtergestelde groepen (zie General Comment van het Comité nr. 5, par. 8). Het artikel benadrukt dat beschikbare middelen zo maximaal mogelijk moeten worden ingezet.</w:t>
      </w:r>
    </w:p>
    <w:p w14:paraId="25B08469" w14:textId="7B294FE1" w:rsidR="005A0FD9" w:rsidRPr="00417398" w:rsidRDefault="005A0FD9" w:rsidP="00232856">
      <w:pPr>
        <w:pStyle w:val="SingleTxtG"/>
        <w:numPr>
          <w:ilvl w:val="0"/>
          <w:numId w:val="16"/>
        </w:numPr>
        <w:rPr>
          <w:i/>
          <w:noProof/>
        </w:rPr>
      </w:pPr>
      <w:bookmarkStart w:id="69" w:name="_Ref286913304"/>
      <w:r>
        <w:rPr>
          <w:rStyle w:val="H23GChar"/>
        </w:rPr>
        <w:t>Artikel 5 (richting en leiding overeenkomstig de zich ontwikkelende vermogens)</w:t>
      </w:r>
      <w:r>
        <w:rPr>
          <w:b/>
          <w:bCs/>
          <w:iCs/>
        </w:rPr>
        <w:t xml:space="preserve"> </w:t>
      </w:r>
      <w:r>
        <w:t xml:space="preserve">De tenuitvoerlegging van artikel 19 vereist erkenning en ondersteuning van het primaire belang van ouders, families, wettelijk voogden en leden van de gemeenschap bij de zorg en </w:t>
      </w:r>
      <w:r>
        <w:lastRenderedPageBreak/>
        <w:t xml:space="preserve">bescherming van kinderen en het voorkomen van geweld. Deze benadering komt overeen met artikel 5 dat het belang benadrukt van respect voor de verantwoordelijkheden en de rechten en plichten van verzorgers om op een wijze die strookt met de zich ontwikkelende capaciteiten van het kind de juiste aansturing en begeleiding te geven bij de uitoefening door het kind van de rechten die in het Verdrag (inclusief artikel 19) worden erkend. (Zie ook par. </w:t>
      </w:r>
      <w:r w:rsidR="00473505" w:rsidRPr="00417398">
        <w:fldChar w:fldCharType="begin"/>
      </w:r>
      <w:r w:rsidR="00473505" w:rsidRPr="00417398">
        <w:instrText xml:space="preserve"> REF _Ref286833420 \r \h </w:instrText>
      </w:r>
      <w:r w:rsidR="00473505" w:rsidRPr="00417398">
        <w:fldChar w:fldCharType="separate"/>
      </w:r>
      <w:r w:rsidR="00A74CCC">
        <w:t>72</w:t>
      </w:r>
      <w:r w:rsidR="00473505" w:rsidRPr="00417398">
        <w:fldChar w:fldCharType="end"/>
      </w:r>
      <w:r>
        <w:t xml:space="preserve"> (d) over de prioritering van gezinnen in de context van landelijke coördinatiekaders en andere artikelen die relevant zijn voor gezinnen).</w:t>
      </w:r>
      <w:bookmarkEnd w:id="69"/>
      <w:r>
        <w:t xml:space="preserve"> </w:t>
      </w:r>
    </w:p>
    <w:p w14:paraId="7FD47C0B" w14:textId="77777777" w:rsidR="005A0FD9" w:rsidRPr="00417398" w:rsidRDefault="005A0FD9" w:rsidP="00232856">
      <w:pPr>
        <w:pStyle w:val="SingleTxtG"/>
        <w:numPr>
          <w:ilvl w:val="0"/>
          <w:numId w:val="16"/>
        </w:numPr>
        <w:rPr>
          <w:i/>
          <w:noProof/>
        </w:rPr>
      </w:pPr>
      <w:r>
        <w:rPr>
          <w:rStyle w:val="H23GChar"/>
        </w:rPr>
        <w:t>Overige relevante artikelen</w:t>
      </w:r>
      <w:r>
        <w:t xml:space="preserve"> Het Verdrag bevat talloze artikelen die expliciet of impliciet betrekking hebben op geweld en de bescherming van kinderen. Artikel 19 dient tezamen met deze artikelen gelezen te worden. Deze uitgebreide verwijzingen tonen de noodzaak aan om rekening te houden met de overal aanwezige bedreiging door geweld in al haar verschijningsvormen van de tenuitvoerlegging van kinderrechten en voor de bescherming van kinderen in alle levens- en ontwikkelingsomstandigheden te zorgen.</w:t>
      </w:r>
    </w:p>
    <w:p w14:paraId="15A7B247" w14:textId="77777777" w:rsidR="005A0FD9" w:rsidRPr="00417398" w:rsidRDefault="00232856" w:rsidP="00232856">
      <w:pPr>
        <w:pStyle w:val="HChG"/>
        <w:rPr>
          <w:noProof/>
        </w:rPr>
      </w:pPr>
      <w:r>
        <w:tab/>
      </w:r>
      <w:bookmarkStart w:id="70" w:name="_Toc285723378"/>
      <w:bookmarkStart w:id="71" w:name="_Toc285724533"/>
      <w:bookmarkStart w:id="72" w:name="_Toc285724593"/>
      <w:bookmarkStart w:id="73" w:name="_Toc285724740"/>
      <w:bookmarkStart w:id="74" w:name="_Toc285724998"/>
      <w:r>
        <w:t>VI.</w:t>
      </w:r>
      <w:r>
        <w:tab/>
        <w:t>Nationaal coördinatiekader inzake geweld tegen kinderen</w:t>
      </w:r>
      <w:bookmarkEnd w:id="70"/>
      <w:bookmarkEnd w:id="71"/>
      <w:bookmarkEnd w:id="72"/>
      <w:bookmarkEnd w:id="73"/>
      <w:bookmarkEnd w:id="74"/>
    </w:p>
    <w:p w14:paraId="5D6F0012" w14:textId="77777777" w:rsidR="005A0FD9" w:rsidRPr="00417398" w:rsidRDefault="005A0FD9" w:rsidP="00232856">
      <w:pPr>
        <w:pStyle w:val="SingleTxtG"/>
        <w:numPr>
          <w:ilvl w:val="0"/>
          <w:numId w:val="16"/>
        </w:numPr>
        <w:rPr>
          <w:noProof/>
        </w:rPr>
      </w:pPr>
      <w:r>
        <w:rPr>
          <w:rStyle w:val="H23GChar"/>
        </w:rPr>
        <w:t>Voorbij landelijke actieplannen</w:t>
      </w:r>
      <w:r>
        <w:rPr>
          <w:b/>
          <w:bCs/>
        </w:rPr>
        <w:t xml:space="preserve"> </w:t>
      </w:r>
      <w:r>
        <w:t>Het Comité erkent dat vele door Staten die partij zijn aangenomen landelijke actieplannen voor de tenuitvoerlegging van de rechten van het kind maatregelen omvatten om alle vormen van geweld tegen kinderen te verbieden, te voorkomen en uit te bannen. Terwijl dergelijke actieplannen ertoe bijdragen dat kinderen hun rechten meer kunnen genieten, ondervinden zij veel problemen bij invoering, toezicht, evaluatie en vervolg. Vaak is het bijvoorbeeld aan koppeling ontbroken met het algehele ontwikkelingsbeleid, trajecten, begrotings- en coördinatiemechanismen. Om een haalbaarder en flexibeler instrument in te stellen, stelt de Commissie een “coördinatiekader” voor geweld tegen kinderen” voor, voor alle maatregelen op basis van kinderrechten ter bescherming van kinderen tegen geweld in al haar verschijningsvormen en ter ondersteuning van een beschermende omgeving.</w:t>
      </w:r>
      <w:r w:rsidRPr="00417398">
        <w:rPr>
          <w:rStyle w:val="FootnoteReference"/>
          <w:noProof/>
        </w:rPr>
        <w:footnoteReference w:id="25"/>
      </w:r>
      <w:r>
        <w:t xml:space="preserve"> Een dergelijk coördinatiekader kan gebruikt worden in plaats van landelijke actieplannen waar die nog niet bestaan of waar die onpraktisch blijken. Waar landelijke actieplannen al effectief worden uitgevoerd, kan het coördinatiekader die inspanningen toch aanvullen, discussie stimuleren en nieuwe ideeën en middelen genereren om ze beter te laten functioneren.</w:t>
      </w:r>
    </w:p>
    <w:p w14:paraId="066287D0" w14:textId="77777777" w:rsidR="005A0FD9" w:rsidRPr="00417398" w:rsidRDefault="005A0FD9" w:rsidP="00232856">
      <w:pPr>
        <w:pStyle w:val="SingleTxtG"/>
        <w:numPr>
          <w:ilvl w:val="0"/>
          <w:numId w:val="16"/>
        </w:numPr>
        <w:rPr>
          <w:noProof/>
        </w:rPr>
      </w:pPr>
      <w:r>
        <w:rPr>
          <w:rStyle w:val="H23GChar"/>
        </w:rPr>
        <w:t>Nationaal coördinatiekader inzake geweld tegen kinderen</w:t>
      </w:r>
      <w:r>
        <w:t xml:space="preserve"> Dit coördinatiekader kan een gewoon referentiekader en een communicatiemechanisme tussen ministeries bieden en ook voor overheids- en maatschappelijke actoren op alle niveaus met betrekking tot de benodigde maatregelen, zich uitstrekkend over het gehele spectrum van maatregelen en in ieder in artikel 19 genoemd interventiestadium. Het kan flexibiliteit en creativiteit bevorderen en de ontwikkeling en uitvoering van initiatieven mogelijk maken die tegelijkertijd door overheid en maatschappij geleid worden, maar die niettemin in een algeheel samenhangend en gecoördineerd kader passen. In eerdere aanbevelingen en algemene commentaren, waaronder algemeen commentaar nr. 5 over algemene tenuitvoerleggingsmaatregelen heeft de Commissie er al bij Staten die partij zijn bij het Verdrag op aangedrongen plannen en beleid te ontwikkelen voor specifieke aspecten van het Verdrag (bijvoorbeeld jeugdrechtspraak of vroege jeugd). In deze context adviseert de Commissie de ontwikkeling van een landelijk coördinatiekader voor bescherming tegen alle vormen van geweld, inclusief alomvattende preventiemaatregelen.</w:t>
      </w:r>
    </w:p>
    <w:p w14:paraId="0D00DECD" w14:textId="77777777" w:rsidR="005A0FD9" w:rsidRPr="00417398" w:rsidRDefault="005A0FD9" w:rsidP="00232856">
      <w:pPr>
        <w:pStyle w:val="SingleTxtG"/>
        <w:numPr>
          <w:ilvl w:val="0"/>
          <w:numId w:val="16"/>
        </w:numPr>
        <w:rPr>
          <w:noProof/>
        </w:rPr>
      </w:pPr>
      <w:bookmarkStart w:id="75" w:name="_Ref288128381"/>
      <w:r>
        <w:rPr>
          <w:rStyle w:val="H23GChar"/>
        </w:rPr>
        <w:t xml:space="preserve">Verschillende uitgangspunten </w:t>
      </w:r>
      <w:r>
        <w:t xml:space="preserve">De Commissie erkent dat kinderen beschermen tegen alle vormen van geweld een groot probleem is in veel landen en dat Staten die partij zijn bij het Verdrag maatregelen ontwerpen en invoeren vanuit zeer verschillende uitgangspunten </w:t>
      </w:r>
      <w:r>
        <w:lastRenderedPageBreak/>
        <w:t>voor wat betreft bestaande juridische, institutionele en dienstverleningsinfrastructuren, culturele gewoontes en professionele competenties, alsook de mate van aanwezige middelen.</w:t>
      </w:r>
      <w:bookmarkEnd w:id="75"/>
      <w:r>
        <w:t xml:space="preserve"> </w:t>
      </w:r>
    </w:p>
    <w:p w14:paraId="757026B3" w14:textId="77777777" w:rsidR="005A0FD9" w:rsidRPr="00417398" w:rsidRDefault="005A0FD9" w:rsidP="00232856">
      <w:pPr>
        <w:pStyle w:val="SingleTxtG"/>
        <w:numPr>
          <w:ilvl w:val="0"/>
          <w:numId w:val="16"/>
        </w:numPr>
        <w:rPr>
          <w:noProof/>
          <w:szCs w:val="24"/>
        </w:rPr>
      </w:pPr>
      <w:bookmarkStart w:id="76" w:name="_Ref286848847"/>
      <w:r>
        <w:rPr>
          <w:rStyle w:val="H23GChar"/>
        </w:rPr>
        <w:t xml:space="preserve">Het ontwikkelingsproces van een landelijk coördinatiekader </w:t>
      </w:r>
      <w:r>
        <w:t>Er bestaat geen standaardmodel voor dergelijke coördinatiekaders voor bevrijding van alle vormen van geweld. Sommige landen hebben geïnvesteerd in een afzonderlijk systeem voor de bescherming van kinderen terwijl andere landen beschermingsaangelegenheden liever integreren in mainstreamsystemen voor het uitvoeren van de rechten van kinderen. De ervaring leert dat het proces voor het ontwikkelen van een systeem essentieel is voor een geslaagde implementatie. Een vaardige facilitering is vereist om te zorgen voor medezeggenschap en eigenaarschap bij oudere vertegenwoordigers van alle belanghebbende groepen, mogelijk door een multidisciplinaire werkgroep met de juiste besluitvormingsbevoegdheid, die regelmatig bijeenkomt en bereid is ambitieus te werk te gaan. Een systeem van preventie en bescherming tegen alle vormen van geweld dient voort te bouwen op de sterke punten in bestaande officiële en niet-officiële structuren, diensten en organisaties. Hiaten dienen te worden opgespoord en gevuld op basis van de verplichtingen die zijn uiteengezet in artikel 19 en breder in het Verdrag en in andere internationale en regionale mensenrechtenverdragen, en die geleid door het onderzoek over geweld tegen kinderen van de Verenigde Naties dit General Comment en verdere tenuitvoerlegging ondersteunt. Nationale planning moet een transparant en inclusief proces zijn, met volledige openbaarmaking aan het grote publiek en zekerheid van de betrokkenheid van de overheid, ngo's, onderzoeksdeskundigen en deskundigen uit de beroepspraktijk, ouders en kinderen. Het dient toegankelijk en begrijpelijk te zijn voor zowel kinderen als volwassenen. Het landelijk coördinatiekader dient volledig bekostigd en gefinancierd te worden, ook de menskracht en de technische middelen en indien mogelijk tegelijk met de landelijke begroting voor kinderen te worden ingediend.</w:t>
      </w:r>
      <w:bookmarkEnd w:id="76"/>
    </w:p>
    <w:p w14:paraId="6A89A520" w14:textId="77777777" w:rsidR="005A0FD9" w:rsidRPr="00417398" w:rsidRDefault="005A0FD9" w:rsidP="00232856">
      <w:pPr>
        <w:pStyle w:val="SingleTxtG"/>
        <w:numPr>
          <w:ilvl w:val="0"/>
          <w:numId w:val="16"/>
        </w:numPr>
        <w:rPr>
          <w:noProof/>
          <w:szCs w:val="24"/>
          <w:shd w:val="clear" w:color="auto" w:fill="FFFFFF"/>
        </w:rPr>
      </w:pPr>
      <w:bookmarkStart w:id="77" w:name="_Ref286833420"/>
      <w:r>
        <w:rPr>
          <w:rStyle w:val="H23GChar"/>
        </w:rPr>
        <w:t>Elementen die opgenomen moeten worden in de mainstream van landelijke coördinatiekaders</w:t>
      </w:r>
      <w:r>
        <w:t xml:space="preserve"> </w:t>
      </w:r>
      <w:r>
        <w:rPr>
          <w:szCs w:val="24"/>
          <w:shd w:val="clear" w:color="auto" w:fill="FFFFFF"/>
        </w:rPr>
        <w:t>De volgende elementen moeten deel uitmaken van de mainstream</w:t>
      </w:r>
      <w:r>
        <w:t xml:space="preserve"> bij alle maatregelen (wetgevende, </w:t>
      </w:r>
      <w:r>
        <w:rPr>
          <w:szCs w:val="24"/>
          <w:shd w:val="clear" w:color="auto" w:fill="FFFFFF"/>
        </w:rPr>
        <w:t>bestuurlijke, sociale en onderwijsmaatregelen) en interventiestadia (van preventie tot herstel en re-integratie):</w:t>
      </w:r>
      <w:bookmarkEnd w:id="77"/>
      <w:r>
        <w:rPr>
          <w:szCs w:val="24"/>
          <w:shd w:val="clear" w:color="auto" w:fill="FFFFFF"/>
        </w:rPr>
        <w:t xml:space="preserve"> </w:t>
      </w:r>
    </w:p>
    <w:p w14:paraId="3D909F75" w14:textId="77777777" w:rsidR="005A0FD9" w:rsidRPr="00417398" w:rsidRDefault="00415EE6" w:rsidP="00232856">
      <w:pPr>
        <w:pStyle w:val="SingleTxtG"/>
        <w:ind w:firstLine="567"/>
        <w:rPr>
          <w:noProof/>
          <w:szCs w:val="24"/>
          <w:shd w:val="clear" w:color="auto" w:fill="FFFFFF"/>
        </w:rPr>
      </w:pPr>
      <w:r>
        <w:rPr>
          <w:bCs/>
          <w:szCs w:val="24"/>
          <w:shd w:val="clear" w:color="auto" w:fill="FFFFFF"/>
        </w:rPr>
        <w:t>(a)</w:t>
      </w:r>
      <w:r>
        <w:rPr>
          <w:bCs/>
          <w:szCs w:val="24"/>
          <w:shd w:val="clear" w:color="auto" w:fill="FFFFFF"/>
        </w:rPr>
        <w:tab/>
      </w:r>
      <w:r>
        <w:rPr>
          <w:i/>
          <w:szCs w:val="24"/>
          <w:shd w:val="clear" w:color="auto" w:fill="FFFFFF"/>
        </w:rPr>
        <w:t>Benadering op basis van kinderrechten</w:t>
      </w:r>
      <w:r>
        <w:rPr>
          <w:szCs w:val="24"/>
          <w:shd w:val="clear" w:color="auto" w:fill="FFFFFF"/>
        </w:rPr>
        <w:t xml:space="preserve"> </w:t>
      </w:r>
      <w:r>
        <w:t xml:space="preserve">Deze benadering is gebaseerd op de verklaring van het kind als houder van rechten en niet als de begunstigde van welwillende activiteiten van volwassen. </w:t>
      </w:r>
      <w:r>
        <w:rPr>
          <w:szCs w:val="24"/>
          <w:shd w:val="clear" w:color="auto" w:fill="FFFFFF"/>
        </w:rPr>
        <w:t xml:space="preserve">Hieronder valt </w:t>
      </w:r>
      <w:r>
        <w:t>het respecteren en aanmoedigen van overleg en samenwerking met en het inschakelen van kinderen bij het ontwerp, de implementatie, monitoren en evaluatie van het coördinatiekader en specifieke maatregelen daarin, rekening houdend met de leeftijd en de zich ontwikkelende vermogens van het kind of de kinderen;</w:t>
      </w:r>
    </w:p>
    <w:p w14:paraId="70421561" w14:textId="77777777" w:rsidR="005A0FD9" w:rsidRPr="00417398" w:rsidRDefault="00415EE6" w:rsidP="00232856">
      <w:pPr>
        <w:pStyle w:val="SingleTxtG"/>
        <w:ind w:firstLine="567"/>
        <w:rPr>
          <w:rFonts w:eastAsia="AGaramond-Regular"/>
          <w:noProof/>
        </w:rPr>
      </w:pPr>
      <w:r>
        <w:t xml:space="preserve">(b) </w:t>
      </w:r>
      <w:r>
        <w:rPr>
          <w:i/>
        </w:rPr>
        <w:t>De genderdimensie van geweld tegen kinderen</w:t>
      </w:r>
      <w:r>
        <w:t xml:space="preserve"> Staten die partij zijn bij het Verdrag moeten ervoor zorgen dat beleid en maatregelen rekening houden met de verschillende risico's waarmee meisjes en jongens geconfronteerd worden in verband met verschillende vormen van geweld in verschillende omgevingen. Staten die partij zijn moeten alle vormen van discriminatie op grond van geslacht aanpakken als onderdeel van een alomvattend beleid voor de preventie van geweld. Hieronder valt ook het aanpakken van op geslacht gebaseerde stereotypen, machtsonevenwichtigheden, ongelijkheden en discriminatie die het gebruik van geweld en dwang in huis, op school en in onderwijsinstellingen, in gemeenschappen, op het werk, in instellingen en in de maatschappij in bredere zin ondersteunen en bestendigen. Mannen en jongens moeten actief aangemoedigd worden als strategische partners en bondgenoten en samen met vrouwen en meisjes de kansen krijgen hun respect voor elkaar te vergroten en hun begrip van hoe er een einde gemaakt kan worden aan discriminatie op basis van geslacht en de gewelddadige uitingen daarvan; </w:t>
      </w:r>
    </w:p>
    <w:p w14:paraId="323B2E30" w14:textId="0DA83637" w:rsidR="005A0FD9" w:rsidRPr="00417398" w:rsidRDefault="00415EE6" w:rsidP="00232856">
      <w:pPr>
        <w:pStyle w:val="SingleTxtG"/>
        <w:ind w:firstLine="567"/>
        <w:rPr>
          <w:noProof/>
          <w:szCs w:val="24"/>
          <w:shd w:val="clear" w:color="auto" w:fill="FFFFFF"/>
        </w:rPr>
      </w:pPr>
      <w:r>
        <w:t>(c)</w:t>
      </w:r>
      <w:r>
        <w:tab/>
      </w:r>
      <w:r>
        <w:rPr>
          <w:bCs/>
          <w:i/>
          <w:szCs w:val="24"/>
        </w:rPr>
        <w:t>Primaire (algemene) preventie</w:t>
      </w:r>
      <w:r>
        <w:rPr>
          <w:szCs w:val="24"/>
          <w:shd w:val="clear" w:color="auto" w:fill="FFFFFF"/>
        </w:rPr>
        <w:t xml:space="preserve">. Zie paragraaf </w:t>
      </w:r>
      <w:r w:rsidR="001E04A0" w:rsidRPr="00417398">
        <w:rPr>
          <w:szCs w:val="24"/>
          <w:shd w:val="clear" w:color="auto" w:fill="FFFFFF"/>
        </w:rPr>
        <w:fldChar w:fldCharType="begin"/>
      </w:r>
      <w:r w:rsidR="001E04A0" w:rsidRPr="00417398">
        <w:rPr>
          <w:szCs w:val="24"/>
          <w:shd w:val="clear" w:color="auto" w:fill="FFFFFF"/>
        </w:rPr>
        <w:instrText xml:space="preserve"> REF _Ref286912043 \r \h </w:instrText>
      </w:r>
      <w:r w:rsidR="001E04A0" w:rsidRPr="00417398">
        <w:rPr>
          <w:szCs w:val="24"/>
          <w:shd w:val="clear" w:color="auto" w:fill="FFFFFF"/>
        </w:rPr>
      </w:r>
      <w:r w:rsidR="001E04A0" w:rsidRPr="00417398">
        <w:rPr>
          <w:szCs w:val="24"/>
          <w:shd w:val="clear" w:color="auto" w:fill="FFFFFF"/>
        </w:rPr>
        <w:fldChar w:fldCharType="separate"/>
      </w:r>
      <w:r w:rsidR="00A74CCC">
        <w:rPr>
          <w:szCs w:val="24"/>
          <w:shd w:val="clear" w:color="auto" w:fill="FFFFFF"/>
        </w:rPr>
        <w:t>42</w:t>
      </w:r>
      <w:r w:rsidR="001E04A0" w:rsidRPr="00417398">
        <w:rPr>
          <w:szCs w:val="24"/>
          <w:shd w:val="clear" w:color="auto" w:fill="FFFFFF"/>
        </w:rPr>
        <w:fldChar w:fldCharType="end"/>
      </w:r>
      <w:r>
        <w:rPr>
          <w:szCs w:val="24"/>
          <w:shd w:val="clear" w:color="auto" w:fill="FFFFFF"/>
        </w:rPr>
        <w:t xml:space="preserve"> van dit General Comment voor verdere informatie;</w:t>
      </w:r>
    </w:p>
    <w:p w14:paraId="2367BC55" w14:textId="77777777" w:rsidR="005A0FD9" w:rsidRPr="00417398" w:rsidRDefault="00415EE6" w:rsidP="00232856">
      <w:pPr>
        <w:pStyle w:val="SingleTxtG"/>
        <w:ind w:firstLine="567"/>
        <w:rPr>
          <w:noProof/>
        </w:rPr>
      </w:pPr>
      <w:r>
        <w:lastRenderedPageBreak/>
        <w:t>(d)</w:t>
      </w:r>
      <w:r>
        <w:tab/>
      </w:r>
      <w:r>
        <w:rPr>
          <w:bCs/>
          <w:i/>
        </w:rPr>
        <w:t>De primaire positie van gezinnen in jeugdzorg en kinderbeschermingsbeleid</w:t>
      </w:r>
      <w:r w:rsidR="005A0FD9" w:rsidRPr="00417398">
        <w:rPr>
          <w:rStyle w:val="FootnoteReference"/>
          <w:bCs/>
          <w:noProof/>
        </w:rPr>
        <w:footnoteReference w:id="26"/>
      </w:r>
      <w:r>
        <w:rPr>
          <w:b/>
          <w:bCs/>
        </w:rPr>
        <w:t xml:space="preserve"> </w:t>
      </w:r>
      <w:r>
        <w:t xml:space="preserve">Gezinnen (ook grootfamilies en andere gezinsvormen) bieden de meeste mogelijkheden om kinderen te beschermen en geweld te voorkomen. Gezinnen kunnen kinderen ook ondersteunen en leren op te komen voor zichzelf om zichzelf te beschermen. De noodzaak om het gezinsleven te versterken, gezinnen te ondersteunen en met gezinnen met problemen aan de slag te gaan moet daarom in ieder interventiestadium prioriteit hebben als activiteit ten behoeve van de bescherming van kinderen, vooral preventie (door goede zorg aan het kind te geven in een vroeg stadium) en interventie in een vroeg stadium. Het Comité erkent echter ook dat veel van het geweld dat kinderen meemaken, met inbegrip van seksueel misbruik, plaatsvindt binnen de context van het gezin en zij benadrukt de noodzaak van interventie in gezinnen als kinderen worden blootgesteld aan geweld door familieleden; </w:t>
      </w:r>
    </w:p>
    <w:p w14:paraId="5DB0DB00" w14:textId="76DF625B" w:rsidR="005A0FD9" w:rsidRPr="00417398" w:rsidRDefault="00415EE6" w:rsidP="00232856">
      <w:pPr>
        <w:pStyle w:val="SingleTxtG"/>
        <w:ind w:firstLine="567"/>
        <w:rPr>
          <w:rFonts w:eastAsia="AGaramond-Regular"/>
          <w:noProof/>
        </w:rPr>
      </w:pPr>
      <w:r>
        <w:t>(e)</w:t>
      </w:r>
      <w:r>
        <w:tab/>
      </w:r>
      <w:r>
        <w:rPr>
          <w:bCs/>
          <w:i/>
        </w:rPr>
        <w:t>Herstellingsvermogen en beschermende factoren</w:t>
      </w:r>
      <w:r>
        <w:t xml:space="preserve"> </w:t>
      </w:r>
      <w:r>
        <w:rPr>
          <w:shd w:val="clear" w:color="auto" w:fill="FFFFFF"/>
        </w:rPr>
        <w:t xml:space="preserve">Het is van essentieel belang inzicht te hebben in veerkracht en beschermende factoren, d.w.z. innerlijke en uiterlijke kracht en ondersteuning die de persoonlijke veiligheid bevorderen en misbruik en verwaarlozing en de negatieve invloed daarvan beperken. </w:t>
      </w:r>
      <w:r>
        <w:t xml:space="preserve">Beschermende factoren zijn stabiele gezinnen; begeleiding bij de opvoeding door volwassenen die voldoen aan de fysieke en psychosociale behoeften van het kind; positieve niet-gewelddadige bestraffing; veilige hechting van het kind aan ten minste één volwassene; ondersteunende relaties met leeftijdsgenoten en anderen (inclusief leerkrachten); een sociale omgeving die sociale, niet-gewelddadige en niet-discriminerende houdingen en gedrag bevordert; hoge niveaus van sociale cohesie in de gemeenschap; en bloeiende sociale netwerken en buurtverbindingen; </w:t>
      </w:r>
    </w:p>
    <w:p w14:paraId="64CE6BD6" w14:textId="77777777" w:rsidR="005A0FD9" w:rsidRPr="00417398" w:rsidRDefault="00415EE6" w:rsidP="00232856">
      <w:pPr>
        <w:pStyle w:val="SingleTxtG"/>
        <w:ind w:firstLine="567"/>
        <w:rPr>
          <w:rFonts w:eastAsia="AGaramond-Regular"/>
          <w:i/>
          <w:noProof/>
        </w:rPr>
      </w:pPr>
      <w:r>
        <w:t>(f)</w:t>
      </w:r>
      <w:r>
        <w:tab/>
      </w:r>
      <w:r>
        <w:rPr>
          <w:bCs/>
          <w:i/>
        </w:rPr>
        <w:t>Risicofactoren</w:t>
      </w:r>
      <w:r>
        <w:t xml:space="preserve"> Er moeten proactieve, op maat gesneden maatregelen worden genomen om de risicofactoren te verminderen waaraan individuele kinderen of groepen kinderen in het algemeen of in bepaalde contexten kunnen worden blootgesteld. Hieronder vallen ook risicofactoren voor ouders, zoals alcohol- en drugsmisbruik, psychische problemen en sociale isolatie, en risicofactoren voor het gezin zoals armoede, werkloosheid, discriminatie en marginalisatie. </w:t>
      </w:r>
      <w:r>
        <w:rPr>
          <w:shd w:val="clear" w:color="auto" w:fill="FFFFFF"/>
        </w:rPr>
        <w:t xml:space="preserve">Op een universeel niveau worden alle kinderen van 0-18 jaar als kwetsbaar beschouwd tot de voltooiing van hun neurale, psychologische, sociale en fysieke groei en ontwikkeling. Baby's en jonge kinderen lopen een groter risico vanwege </w:t>
      </w:r>
      <w:r>
        <w:t>de onrijpheid van hun nog in ontwikkeling zijnde hersenen</w:t>
      </w:r>
      <w:r>
        <w:rPr>
          <w:shd w:val="clear" w:color="auto" w:fill="FFFFFF"/>
        </w:rPr>
        <w:t xml:space="preserve"> en hun volledige afhankelijkheid van volwassenen. Zowel meisjes als jongens lopen risico, maar er is vaak een gendercomponent aan geweld verbonden. </w:t>
      </w:r>
    </w:p>
    <w:p w14:paraId="5E0BCC9A" w14:textId="77777777" w:rsidR="005A0FD9" w:rsidRPr="00417398" w:rsidRDefault="00415EE6" w:rsidP="00232856">
      <w:pPr>
        <w:pStyle w:val="SingleTxtG"/>
        <w:ind w:firstLine="567"/>
      </w:pPr>
      <w:r>
        <w:rPr>
          <w:bCs/>
          <w:shd w:val="clear" w:color="auto" w:fill="FFFFFF"/>
        </w:rPr>
        <w:t>(g)</w:t>
      </w:r>
      <w:r>
        <w:rPr>
          <w:bCs/>
          <w:shd w:val="clear" w:color="auto" w:fill="FFFFFF"/>
        </w:rPr>
        <w:tab/>
      </w:r>
      <w:r>
        <w:rPr>
          <w:bCs/>
          <w:i/>
          <w:shd w:val="clear" w:color="auto" w:fill="FFFFFF"/>
        </w:rPr>
        <w:t>Kinderen in potentieel kwetsbare situaties</w:t>
      </w:r>
      <w:r>
        <w:rPr>
          <w:shd w:val="clear" w:color="auto" w:fill="FFFFFF"/>
        </w:rPr>
        <w:t xml:space="preserve"> Groepen kinderen waarvan het waarschijnlijk is dat ze aan geweld zullen worden blootgesteld betreffen, maar zijn niet beperkt tot, kinderen die niet bij hun biologische ouders wonen; kinderen die in diverse vormen van andere zorg wonen; kinderen die niet aangegeven zijn bij hun geboorte; kinderen die op straat leven; kinderen die werkelijk of vermeend in strijd met de wet handelen; kinderen met lichamelijke, emotionele of psychosociale beperkingen en kinderen met aangeboren, later opgelopen en/of chronische ziektes </w:t>
      </w:r>
      <w:r>
        <w:t xml:space="preserve">of ernstige gedragsproblemen; </w:t>
      </w:r>
      <w:r>
        <w:rPr>
          <w:shd w:val="clear" w:color="auto" w:fill="FFFFFF"/>
        </w:rPr>
        <w:t>inheemse kinderen</w:t>
      </w:r>
      <w:r w:rsidR="005A0FD9" w:rsidRPr="00417398">
        <w:rPr>
          <w:rStyle w:val="FootnoteReference"/>
          <w:noProof/>
          <w:shd w:val="clear" w:color="auto" w:fill="FFFFFF"/>
        </w:rPr>
        <w:footnoteReference w:id="27"/>
      </w:r>
      <w:r>
        <w:rPr>
          <w:shd w:val="clear" w:color="auto" w:fill="FFFFFF"/>
        </w:rPr>
        <w:t xml:space="preserve"> en kinderen van etnische minderheden; kinderen van religieuze of taalkundige minderheden; kinderen die homoseksueel of lesbisch, transgender of transseksueel zijn; kinderen die het risico lopen slachtoffer te worden van schadelijke traditionele praktijken; kinderen die vroeg uitgehuwelijkt worden (vooral meisjes, en vooral, maar niet uitsluitend door gedwongen huwelijken); kinderen die gevaarlijke kinderarbeid </w:t>
      </w:r>
      <w:r>
        <w:rPr>
          <w:shd w:val="clear" w:color="auto" w:fill="FFFFFF"/>
        </w:rPr>
        <w:lastRenderedPageBreak/>
        <w:t xml:space="preserve">verrichten, vaak de ergste vormen daarvan; kinderen die rondtrekken als migranten of vluchtelingen, of die ontheemd zijn en/of worden verhandeld; kinderen die al geweld hebben meegemaakt; kinderen die thuis en in hun gemeenschap geweld meemaken en er getuige van zijn; kinderen in lage socio-economische stedelijke omgevingen, waar geweren, wapens, drugs en alcohol makkelijk verkrijgbaar kunnen zijn; kinderen die wonen in gebieden waar zich veel ongelukken en rampzalige omstandigheden voordoen of in vergiftigde gebieden; kinderen die het slachtoffer zijn van HIV of AIDS in hun omgeving of die zelf met HIV zijn besmet; kinderen die ondervoed zijn; kinderen die door andere kinderen worden verzorgd; kinderen de zelf voor anderen zorgen of aan het hoofd van een gezin staan; kinderen van ouders die zelf nog minderjarig zijn; </w:t>
      </w:r>
      <w:r>
        <w:t>ongewenste kinderen, te vroeg geboren kinderen of meerlingenkinderen;</w:t>
      </w:r>
      <w:r>
        <w:rPr>
          <w:shd w:val="clear" w:color="auto" w:fill="FFFFFF"/>
        </w:rPr>
        <w:t xml:space="preserve"> kinderen die met te weinig toezicht of contact met hun verzorgers in een ziekenhuis zijn ondergebracht; of kinderen die zijn blootgesteld aan ICT zonder adequate beveiliging, toezicht of die niet voldoende voor zichzelf kunnen opkomen om zichzelf te beschermen.</w:t>
      </w:r>
      <w:r>
        <w:t xml:space="preserve"> Kinderen in noodsituaties zijn uiterst gevoelig voor geweld wanneer als gevolg van sociale of gewapende conflicten, natuurrampen of andere complexe en chronische noodsituaties sociale systemen ineenstorten, kinderen gescheiden raken van hun verzorgers en veilige omgevingen beschadigd of zelfs verwoest raken.</w:t>
      </w:r>
    </w:p>
    <w:p w14:paraId="05B52450" w14:textId="77777777" w:rsidR="005A0FD9" w:rsidRPr="00417398" w:rsidRDefault="00415EE6" w:rsidP="00232856">
      <w:pPr>
        <w:pStyle w:val="SingleTxtG"/>
        <w:ind w:firstLine="567"/>
        <w:rPr>
          <w:noProof/>
        </w:rPr>
      </w:pPr>
      <w:r>
        <w:t>(h)</w:t>
      </w:r>
      <w:r>
        <w:tab/>
      </w:r>
      <w:r>
        <w:rPr>
          <w:i/>
        </w:rPr>
        <w:t>Toewijzing van middelen</w:t>
      </w:r>
      <w:r>
        <w:t xml:space="preserve"> Alle beschikbare menselijke, financiële en technische middelen die in verschillende sectoren nodig zijn, moeten zo veel mogelijk worden ingezet. Er moeten robuuste controlemechanismen worden ontwikkeld en geïmplementeerd om ervoor te zorgen dat de toewijzing van budgetten en het efficiënte gebruik ervan te verantwoorden zijn; </w:t>
      </w:r>
    </w:p>
    <w:p w14:paraId="113EC7EA" w14:textId="77777777" w:rsidR="005A0FD9" w:rsidRPr="00417398" w:rsidRDefault="00415EE6" w:rsidP="00232856">
      <w:pPr>
        <w:pStyle w:val="SingleTxtG"/>
        <w:ind w:firstLine="567"/>
        <w:rPr>
          <w:noProof/>
        </w:rPr>
      </w:pPr>
      <w:r>
        <w:t>(i)</w:t>
      </w:r>
      <w:r>
        <w:tab/>
      </w:r>
      <w:r>
        <w:rPr>
          <w:bCs/>
          <w:i/>
        </w:rPr>
        <w:t>Coördinatiemechanismen</w:t>
      </w:r>
      <w:r>
        <w:t xml:space="preserve"> Mechanismen moeten expliciet uiteengezet worden om een effectieve coördinatie te waarborgen </w:t>
      </w:r>
      <w:r>
        <w:rPr>
          <w:shd w:val="clear" w:color="auto" w:fill="FFFFFF"/>
        </w:rPr>
        <w:t xml:space="preserve">op centraal, regionaal en lokaal niveau, </w:t>
      </w:r>
      <w:r>
        <w:t xml:space="preserve">tussen verschillende sectoren en met de maatschappij, waaronder ook de gemeenschap die empirisch onderzoek doet. Deze mechanismen moeten ondersteund worden door de hierboven geschetste maatregelen; </w:t>
      </w:r>
    </w:p>
    <w:p w14:paraId="30880DFC" w14:textId="77777777" w:rsidR="005A0FD9" w:rsidRPr="00417398" w:rsidRDefault="00415EE6" w:rsidP="00232856">
      <w:pPr>
        <w:pStyle w:val="SingleTxtG"/>
        <w:ind w:firstLine="567"/>
        <w:rPr>
          <w:noProof/>
        </w:rPr>
      </w:pPr>
      <w:r>
        <w:t>(j)</w:t>
      </w:r>
      <w:r>
        <w:tab/>
      </w:r>
      <w:r>
        <w:rPr>
          <w:bCs/>
          <w:i/>
        </w:rPr>
        <w:t>Verantwoording</w:t>
      </w:r>
      <w:r>
        <w:t xml:space="preserve"> Er moet voor worden gezorgd dat Staten de partij zijn bij het Verdrag, nationale en lokale instanties en organisaties, en relevante belanghebbenden in de maatschappij proactief en in samenwerkingsverband normen, indicatoren, instrumenten en systemen voor controle, meting en evaluatie vaststellen en toepassen om aan hun verplichtingen en toezeggingen om kinderen te beschermen tegen geweld. Het Comité heeft consequent haar steun uitgesproken voor verantwoordingssystemen, met name door verzameling en analyse van gegevens, constructie, controle en evaluatie van indicatoren en steun voor onafhankelijke mensenrechteninstellingen. Het Comité beveelt Staten die partij zijn aan jaarlijks een rapport te publiceren over de geboekte vooruitgang met betrekking tot het verbieden, voorkomen en uitbannen van geweld, dit ter overweging en discussie aan het parlement voor te leggen en alle relevante belanghebbenden vragen te reageren op de informatie in het rapport.</w:t>
      </w:r>
    </w:p>
    <w:p w14:paraId="6E8D5C4D" w14:textId="77777777" w:rsidR="005A0FD9" w:rsidRPr="00417398" w:rsidRDefault="00232856" w:rsidP="00232856">
      <w:pPr>
        <w:pStyle w:val="HChG"/>
        <w:rPr>
          <w:noProof/>
        </w:rPr>
      </w:pPr>
      <w:r>
        <w:tab/>
      </w:r>
      <w:bookmarkStart w:id="78" w:name="_Toc285723379"/>
      <w:bookmarkStart w:id="79" w:name="_Toc285724534"/>
      <w:bookmarkStart w:id="80" w:name="_Toc285724594"/>
      <w:bookmarkStart w:id="81" w:name="_Toc285724741"/>
      <w:bookmarkStart w:id="82" w:name="_Toc285724999"/>
      <w:r>
        <w:t>VII.</w:t>
      </w:r>
      <w:r>
        <w:tab/>
        <w:t>Middelen voor het realiseren van en de noodzaak van internationale samenwerking</w:t>
      </w:r>
      <w:bookmarkEnd w:id="78"/>
      <w:bookmarkEnd w:id="79"/>
      <w:bookmarkEnd w:id="80"/>
      <w:bookmarkEnd w:id="81"/>
      <w:bookmarkEnd w:id="82"/>
    </w:p>
    <w:p w14:paraId="401AFB6C" w14:textId="77777777" w:rsidR="005A0FD9" w:rsidRPr="00417398" w:rsidRDefault="005A0FD9" w:rsidP="00232856">
      <w:pPr>
        <w:pStyle w:val="SingleTxtG"/>
        <w:numPr>
          <w:ilvl w:val="0"/>
          <w:numId w:val="16"/>
        </w:numPr>
        <w:rPr>
          <w:noProof/>
        </w:rPr>
      </w:pPr>
      <w:r>
        <w:rPr>
          <w:rStyle w:val="H23GChar"/>
        </w:rPr>
        <w:t xml:space="preserve">De verplichtingen van Staten die partij zijn bij het Verdrag </w:t>
      </w:r>
      <w:r>
        <w:t>In het licht van de verplichtingen van de Staten die partij zijn op grond van de artikelen 4 en 19 is het Comité onder meer van mening dat beperkte middelen niet kunnen rechtvaardigen dat een Staat die partij is, de voor de bescherming van kinderen benodigde maatregelen niet of onvoldoende neemt. Staten die partij zijn worden daarom aangespoord om uitgebreide, strategische en tijdgebonden coördinatiekaders voor kinderzorg en bescherming aan te nemen. In het bijzonder benadrukt het Comité de noodzaak om kinderen te raadplegen bij de ontwikkeling van deze strategieën, kaders en maatregelen.</w:t>
      </w:r>
    </w:p>
    <w:p w14:paraId="662C250A" w14:textId="41E5FC5D" w:rsidR="005A0FD9" w:rsidRPr="00417398" w:rsidRDefault="005A0FD9" w:rsidP="00232856">
      <w:pPr>
        <w:pStyle w:val="SingleTxtG"/>
        <w:numPr>
          <w:ilvl w:val="0"/>
          <w:numId w:val="16"/>
        </w:numPr>
        <w:rPr>
          <w:noProof/>
          <w:szCs w:val="24"/>
        </w:rPr>
      </w:pPr>
      <w:r>
        <w:rPr>
          <w:rStyle w:val="H23GChar"/>
        </w:rPr>
        <w:lastRenderedPageBreak/>
        <w:t xml:space="preserve">Ondersteuningsbronnen </w:t>
      </w:r>
      <w:r>
        <w:t xml:space="preserve">In de context van de verschillende in paragraaf </w:t>
      </w:r>
      <w:r w:rsidR="00912EED">
        <w:rPr>
          <w:szCs w:val="24"/>
        </w:rPr>
        <w:fldChar w:fldCharType="begin"/>
      </w:r>
      <w:r w:rsidR="00912EED">
        <w:rPr>
          <w:szCs w:val="24"/>
        </w:rPr>
        <w:instrText xml:space="preserve"> REF _Ref288128381 \r \h </w:instrText>
      </w:r>
      <w:r w:rsidR="00912EED">
        <w:rPr>
          <w:szCs w:val="24"/>
        </w:rPr>
      </w:r>
      <w:r w:rsidR="00912EED">
        <w:rPr>
          <w:szCs w:val="24"/>
        </w:rPr>
        <w:fldChar w:fldCharType="separate"/>
      </w:r>
      <w:r w:rsidR="00A74CCC">
        <w:rPr>
          <w:szCs w:val="24"/>
        </w:rPr>
        <w:t>70</w:t>
      </w:r>
      <w:r w:rsidR="00912EED">
        <w:rPr>
          <w:szCs w:val="24"/>
        </w:rPr>
        <w:fldChar w:fldCharType="end"/>
      </w:r>
      <w:r>
        <w:t>belichte uitgangspunten en mits begrotingen op landelijk en gedecentraliseerd niveau de voornaamste bron van bevindingen dient te zijn voor zorg en beschermingsbeleid voor kinderen, vraagt de Commissie de aandacht van Staten die partij zijn voor de verschillende wegen van internationale samenwerking en bijstand volgens de artikelen 4 en 45 van het Verdrag. De Commissie doet een beroep op de volgende partners om, zowel financieel als technisch, kinderbeschermingsprogramma's inclusief opleidingen te ondersteunen, waarbij ten volle rekening wordt gehouden met de vereisten van artikel 19 en het Verdrag in ruimere zin.</w:t>
      </w:r>
      <w:r w:rsidRPr="00417398">
        <w:rPr>
          <w:rStyle w:val="FootnoteReference"/>
          <w:noProof/>
          <w:szCs w:val="24"/>
        </w:rPr>
        <w:footnoteReference w:id="28"/>
      </w:r>
      <w:r>
        <w:t xml:space="preserve"> Staten die partij zijn die ontwikkelingssamenwerking verlenen; donorinstellingen (inclusief de Wereldbank, particuliere bronnen en stichtingen); agentschappen en organisaties van de Verenigde Naties; en andere internationale en regionale instanties en organisaties. Deze financiële en technische ondersteuning moet systematisch worden geboden door middel van sterke en billijke partnerschappen, op nationaal en internationaal niveau. Op kinderrechten gebaseerde beschermingsprogramma's dienen een van de belangrijkste componenten te zijn bij het ondersteunen van duurzame ontwikkeling in landen die internationale hulp ontvangen. Het Comité moedigt dergelijke instanties ook aan om met het Comité, de speciale vertegenwoordiger van de secretaris-generaal voor Geweld tegen Kinderen en andere internationale en regionale mensenrechtenmechanismen samen te werken om dit doel te bevorderen.</w:t>
      </w:r>
      <w:r>
        <w:rPr>
          <w:rStyle w:val="FootnoteReference"/>
          <w:szCs w:val="24"/>
        </w:rPr>
        <w:t xml:space="preserve"> </w:t>
      </w:r>
    </w:p>
    <w:p w14:paraId="4695E36C" w14:textId="77777777" w:rsidR="005A0FD9" w:rsidRPr="00417398" w:rsidRDefault="005A0FD9" w:rsidP="00232856">
      <w:pPr>
        <w:pStyle w:val="SingleTxtG"/>
        <w:numPr>
          <w:ilvl w:val="0"/>
          <w:numId w:val="16"/>
        </w:numPr>
        <w:rPr>
          <w:noProof/>
        </w:rPr>
      </w:pPr>
      <w:r>
        <w:rPr>
          <w:rStyle w:val="H23GChar"/>
        </w:rPr>
        <w:t>Benodigde middelen op internationaal niveau</w:t>
      </w:r>
      <w:r>
        <w:t xml:space="preserve"> Er moet ook op internationaal niveau op de volgende gebieden geïnvesteerd worden om de Staten die partij zijn te helpen aan hun verplichtingen uit hoofde van artikel 19 te voldoen: </w:t>
      </w:r>
    </w:p>
    <w:p w14:paraId="7F428A8F" w14:textId="77777777" w:rsidR="005A0FD9" w:rsidRPr="00417398" w:rsidRDefault="00CD4781" w:rsidP="00232856">
      <w:pPr>
        <w:pStyle w:val="SingleTxtG"/>
        <w:ind w:firstLine="567"/>
        <w:rPr>
          <w:noProof/>
        </w:rPr>
      </w:pPr>
      <w:r>
        <w:t>(a) Vaardigheden personeel: betere communicatie, samenwerking en individuele uitwisseling binnen en tussen beroepsverenigingen (bijvoorbeeld op medisch gebied, geestelijke gezondheidszorg, maatschappelijk werk, juridische zaken, onderwijs, kindermishandeling, universitair onderzoek, kinderrechten en opleidingsorganisaties /-instellingen); verbeterde communicatie en samenwerking binnen en tussen maatschappelijke groeperingen (bijvoorbeeld onderzoeksgemeenschappen, ngo's, door kinderen geleide organisaties, op geloof gebaseerde organisaties, organisaties van personen met een handicap, gemeenschapsgroepen, jeugdgroepen, en individuele deskundigen die betrokken zijn bij de ontwikkeling en uitwisseling van kennis en praktijk;</w:t>
      </w:r>
    </w:p>
    <w:p w14:paraId="36CA9878" w14:textId="77777777" w:rsidR="005A0FD9" w:rsidRPr="00417398" w:rsidRDefault="00CD4781" w:rsidP="00232856">
      <w:pPr>
        <w:pStyle w:val="SingleTxtG"/>
        <w:ind w:firstLine="567"/>
        <w:rPr>
          <w:noProof/>
        </w:rPr>
      </w:pPr>
      <w:r>
        <w:t>(b) Financiële middelen: betere coördinatie, controle en evaluatie van donorhulp; verdere ontwikkeling van analyses van financieel en menselijk kapitaal zodat economen, onderzoekers en Staten die partij zijn bij het Verdrag de kosten van de implementatie van holistische kinderbeschermingssystemen (met de nadruk op primaire preventie) volledig kunnen afzetten tegen de kosten van het beheer van de directe en indirecte (ook intergenerationele) invloed van geweld op individueel, gemeenschaps-, nationaal en zelfs internationaal niveau; en beoordelingen door internationale financiële instellingen van "hun beleid en activiteiten om rekening te houden met de impact die ze kunnen hebben op kinderen";</w:t>
      </w:r>
      <w:r w:rsidR="005A0FD9" w:rsidRPr="00417398">
        <w:rPr>
          <w:rStyle w:val="FootnoteReference"/>
          <w:noProof/>
        </w:rPr>
        <w:footnoteReference w:id="29"/>
      </w:r>
      <w:r>
        <w:t xml:space="preserve"> </w:t>
      </w:r>
    </w:p>
    <w:p w14:paraId="15480BA3" w14:textId="77777777" w:rsidR="005A0FD9" w:rsidRPr="00417398" w:rsidRDefault="00CD4781" w:rsidP="00232856">
      <w:pPr>
        <w:pStyle w:val="SingleTxtG"/>
        <w:ind w:firstLine="567"/>
        <w:rPr>
          <w:noProof/>
        </w:rPr>
      </w:pPr>
      <w:r>
        <w:t xml:space="preserve">(c) Technische middelen: op bewijs gebaseerde indicatoren, systemen, modellen (inclusief modelwetgeving), hulpmiddelen, richtlijnen, protocollen en praktijknormen voor gebruik door gemeenschappen en professionals, met richtlijnen voor hun aanpassing aan </w:t>
      </w:r>
      <w:r>
        <w:lastRenderedPageBreak/>
        <w:t>verschillende contexten; een platform voor het systematisch delen en ontsluiten van informatie (kennis en praktijk); algemeen vastgestelde helderheid en transparantie bij het begroten voor de rechten van het kind en de bescherming van kinderen, alsook bij het toezicht op de resultaten van de bescherming van kinderen tijdens op- en neergaande economische cycli en moeilijke omstandigheden (technische hulp dient door de tijd heen door middel van informatie, modellen en desbetreffende training tot stand te komen),</w:t>
      </w:r>
    </w:p>
    <w:p w14:paraId="07F3301B" w14:textId="5D5B0306" w:rsidR="005A0FD9" w:rsidRPr="00417398" w:rsidRDefault="005A0FD9" w:rsidP="00232856">
      <w:pPr>
        <w:pStyle w:val="SingleTxtG"/>
        <w:numPr>
          <w:ilvl w:val="0"/>
          <w:numId w:val="16"/>
        </w:numPr>
      </w:pPr>
      <w:r>
        <w:rPr>
          <w:rStyle w:val="H23GChar"/>
        </w:rPr>
        <w:t>Regionale en internationale grensoverschrijdende samenwerking</w:t>
      </w:r>
      <w:r>
        <w:t xml:space="preserve"> Naast ontwikkelingshulp is er ook samenwerking nodig om kinderbeschermingskwesties aan te pakken die grensoverschrijdend zijn, zoals: grensoverschrijdend verkeer van kinderen - onbegeleid of met hun gezin - hetzij vrijwillig of onder dwang (bijvoorbeeld als gevolg van conflicten, hongersnood, natuurrampen of epidemieën) waardoor kinderen het risico lopen schade te ondervinden; grensoverschrijdende mensenhandel voor kinderarbeid, seksuele uitbuiting, adoptie, verminking of andere doeleinden; grensoverschrijdende conflicten die de veiligheid van een kind en de toegang tot beschermingssystemen in gevaar kunnen brengen, zelfs als het kind in het land van herkomst blijft; en rampen die verschillende landen gelijktijdig toeslaan. Specifieke wetgeving, beleidsmaatregelen, programma's en partnerschappen kunnen nodig zijn om kinderen te beschermen die te maken hebben met grensoverschrijdende kinderbeschermingskwesties (bijvoorbeeld cybercriminaliteit en extraterritoriale vervolging van personen die kinderen seksueel misbruiken via reizen en toerisme en mensenhandelaren van gezinnen en kinderen), ongeacht of deze kinderen in traditionele verzorgingssituaties verkeren of wanneer de Staat de feitelijke verzorger is, zoals in het geval van alleenstaande kinderen. </w:t>
      </w:r>
      <w:r>
        <w:rPr>
          <w:noProof/>
        </w:rPr>
        <mc:AlternateContent>
          <mc:Choice Requires="wps">
            <w:drawing>
              <wp:anchor distT="0" distB="0" distL="114300" distR="114300" simplePos="0" relativeHeight="251657728" behindDoc="0" locked="0" layoutInCell="1" allowOverlap="1" wp14:anchorId="0269B1E8" wp14:editId="7AF32839">
                <wp:simplePos x="0" y="0"/>
                <wp:positionH relativeFrom="column">
                  <wp:posOffset>-3365500</wp:posOffset>
                </wp:positionH>
                <wp:positionV relativeFrom="paragraph">
                  <wp:posOffset>1014730</wp:posOffset>
                </wp:positionV>
                <wp:extent cx="1676400" cy="571500"/>
                <wp:effectExtent l="12065" t="8890" r="6985"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571500"/>
                        </a:xfrm>
                        <a:prstGeom prst="rect">
                          <a:avLst/>
                        </a:prstGeom>
                        <a:solidFill>
                          <a:srgbClr val="FFFFFF"/>
                        </a:solidFill>
                        <a:ln w="9525">
                          <a:solidFill>
                            <a:srgbClr val="000000"/>
                          </a:solidFill>
                          <a:miter lim="800000"/>
                          <a:headEnd/>
                          <a:tailEnd/>
                        </a:ln>
                      </wps:spPr>
                      <wps:txbx>
                        <w:txbxContent>
                          <w:p w14:paraId="471FE462" w14:textId="77777777" w:rsidR="001C7DD1" w:rsidRDefault="001C7DD1" w:rsidP="005A0FD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9B1E8" id="Rectangle 2" o:spid="_x0000_s1026" style="position:absolute;left:0;text-align:left;margin-left:-265pt;margin-top:79.9pt;width:132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">
                <v:textbox>
                  <w:txbxContent>
                    <w:p w14:paraId="471FE462" w14:textId="77777777" w:rsidR="001C7DD1" w:rsidRDefault="001C7DD1" w:rsidP="005A0FD9">
                      <w:pPr>
                        <w:jc w:val="center"/>
                      </w:pPr>
                    </w:p>
                  </w:txbxContent>
                </v:textbox>
              </v:rect>
            </w:pict>
          </mc:Fallback>
        </mc:AlternateContent>
      </w:r>
    </w:p>
    <w:p w14:paraId="17891EA7" w14:textId="77777777" w:rsidR="003972E0" w:rsidRPr="00417398" w:rsidRDefault="00232856" w:rsidP="00232856">
      <w:pPr>
        <w:pStyle w:val="SingleTxtG"/>
        <w:spacing w:before="240" w:after="0"/>
        <w:jc w:val="center"/>
        <w:rPr>
          <w:u w:val="single"/>
        </w:rPr>
      </w:pPr>
      <w:r>
        <w:rPr>
          <w:u w:val="single"/>
        </w:rPr>
        <w:tab/>
      </w:r>
      <w:r>
        <w:rPr>
          <w:u w:val="single"/>
        </w:rPr>
        <w:tab/>
      </w:r>
      <w:r>
        <w:rPr>
          <w:u w:val="single"/>
        </w:rPr>
        <w:tab/>
      </w:r>
    </w:p>
    <w:sectPr w:rsidR="003972E0" w:rsidRPr="00417398" w:rsidSect="005A0FD9">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C14EE" w14:textId="77777777" w:rsidR="00B61619" w:rsidRDefault="00B61619"/>
  </w:endnote>
  <w:endnote w:type="continuationSeparator" w:id="0">
    <w:p w14:paraId="0C5F811E" w14:textId="77777777" w:rsidR="00B61619" w:rsidRDefault="00B61619"/>
  </w:endnote>
  <w:endnote w:type="continuationNotice" w:id="1">
    <w:p w14:paraId="77C2F33D" w14:textId="77777777" w:rsidR="00B61619" w:rsidRDefault="00B616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Lucida Grande">
    <w:altName w:val="Courier New"/>
    <w:charset w:val="00"/>
    <w:family w:val="auto"/>
    <w:pitch w:val="variable"/>
    <w:sig w:usb0="03000000" w:usb1="00000000" w:usb2="00000000" w:usb3="00000000" w:csb0="00000001" w:csb1="00000000"/>
  </w:font>
  <w:font w:name="ヒラギノ角ゴ Pro W3">
    <w:charset w:val="80"/>
    <w:family w:val="auto"/>
    <w:pitch w:val="variable"/>
    <w:sig w:usb0="01000000" w:usb1="00000000" w:usb2="07040001" w:usb3="00000000" w:csb0="0002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7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Garamond-Regular">
    <w:altName w:val="Batang"/>
    <w:panose1 w:val="00000000000000000000"/>
    <w:charset w:val="81"/>
    <w:family w:val="roman"/>
    <w:notTrueType/>
    <w:pitch w:val="default"/>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B7F9A" w14:textId="77777777" w:rsidR="001C7DD1" w:rsidRPr="005A0FD9" w:rsidRDefault="001C7DD1" w:rsidP="005A0FD9">
    <w:pPr>
      <w:pStyle w:val="Footer"/>
      <w:tabs>
        <w:tab w:val="right" w:pos="9638"/>
      </w:tabs>
    </w:pPr>
    <w:r w:rsidRPr="005A0FD9">
      <w:rPr>
        <w:b/>
        <w:sz w:val="18"/>
      </w:rPr>
      <w:fldChar w:fldCharType="begin"/>
    </w:r>
    <w:r w:rsidRPr="005A0FD9">
      <w:rPr>
        <w:b/>
        <w:sz w:val="18"/>
      </w:rPr>
      <w:instrText xml:space="preserve"> PAGE  \* MERGEFORMAT </w:instrText>
    </w:r>
    <w:r w:rsidRPr="005A0FD9">
      <w:rPr>
        <w:b/>
        <w:sz w:val="18"/>
      </w:rPr>
      <w:fldChar w:fldCharType="separate"/>
    </w:r>
    <w:r w:rsidR="00F2450A">
      <w:rPr>
        <w:b/>
        <w:sz w:val="18"/>
      </w:rPr>
      <w:t>2</w:t>
    </w:r>
    <w:r w:rsidRPr="005A0FD9">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57C2E" w14:textId="77777777" w:rsidR="001C7DD1" w:rsidRPr="005A0FD9" w:rsidRDefault="001C7DD1" w:rsidP="005A0FD9">
    <w:pPr>
      <w:pStyle w:val="Footer"/>
      <w:tabs>
        <w:tab w:val="right" w:pos="9638"/>
      </w:tabs>
      <w:rPr>
        <w:b/>
        <w:sz w:val="18"/>
      </w:rPr>
    </w:pPr>
    <w:r>
      <w:tab/>
    </w:r>
    <w:r w:rsidRPr="005A0FD9">
      <w:rPr>
        <w:b/>
        <w:sz w:val="18"/>
      </w:rPr>
      <w:fldChar w:fldCharType="begin"/>
    </w:r>
    <w:r w:rsidRPr="005A0FD9">
      <w:rPr>
        <w:b/>
        <w:sz w:val="18"/>
      </w:rPr>
      <w:instrText xml:space="preserve"> PAGE  \* MERGEFORMAT </w:instrText>
    </w:r>
    <w:r w:rsidRPr="005A0FD9">
      <w:rPr>
        <w:b/>
        <w:sz w:val="18"/>
      </w:rPr>
      <w:fldChar w:fldCharType="separate"/>
    </w:r>
    <w:r w:rsidR="00F2450A">
      <w:rPr>
        <w:b/>
        <w:sz w:val="18"/>
      </w:rPr>
      <w:t>29</w:t>
    </w:r>
    <w:r w:rsidRPr="005A0FD9">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BED97" w14:textId="73ED0621" w:rsidR="001C7DD1" w:rsidRPr="005A0FD9" w:rsidRDefault="00EA310B">
    <w:r>
      <w:rPr>
        <w:noProof/>
      </w:rPr>
      <w:drawing>
        <wp:anchor distT="0" distB="0" distL="114300" distR="114300" simplePos="0" relativeHeight="251657728" behindDoc="0" locked="1" layoutInCell="1" allowOverlap="1" wp14:anchorId="5E49EEEE" wp14:editId="0524E836">
          <wp:simplePos x="0" y="0"/>
          <wp:positionH relativeFrom="column">
            <wp:posOffset>5148580</wp:posOffset>
          </wp:positionH>
          <wp:positionV relativeFrom="paragraph">
            <wp:posOffset>-79375</wp:posOffset>
          </wp:positionV>
          <wp:extent cx="930275" cy="230505"/>
          <wp:effectExtent l="0" t="0" r="0" b="0"/>
          <wp:wrapNone/>
          <wp:docPr id="3" name="Afbeelding 3"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a:ln>
                    <a:noFill/>
                  </a:ln>
                </pic:spPr>
              </pic:pic>
            </a:graphicData>
          </a:graphic>
          <wp14:sizeRelH relativeFrom="page">
            <wp14:pctWidth>0</wp14:pctWidth>
          </wp14:sizeRelH>
          <wp14:sizeRelV relativeFrom="page">
            <wp14:pctHeight>0</wp14:pctHeight>
          </wp14:sizeRelV>
        </wp:anchor>
      </w:drawing>
    </w:r>
    <w:r>
      <w:t>GE.11-42387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ABE77" w14:textId="77777777" w:rsidR="00B61619" w:rsidRPr="000B175B" w:rsidRDefault="00B61619" w:rsidP="000B175B">
      <w:pPr>
        <w:tabs>
          <w:tab w:val="right" w:pos="2155"/>
        </w:tabs>
        <w:spacing w:after="80"/>
        <w:ind w:left="680"/>
        <w:rPr>
          <w:u w:val="single"/>
        </w:rPr>
      </w:pPr>
      <w:r>
        <w:rPr>
          <w:u w:val="single"/>
        </w:rPr>
        <w:tab/>
      </w:r>
    </w:p>
  </w:footnote>
  <w:footnote w:type="continuationSeparator" w:id="0">
    <w:p w14:paraId="2F7F9B62" w14:textId="77777777" w:rsidR="00B61619" w:rsidRPr="00FC68B7" w:rsidRDefault="00B61619" w:rsidP="00FC68B7">
      <w:pPr>
        <w:tabs>
          <w:tab w:val="left" w:pos="2155"/>
        </w:tabs>
        <w:spacing w:after="80"/>
        <w:ind w:left="680"/>
        <w:rPr>
          <w:u w:val="single"/>
        </w:rPr>
      </w:pPr>
      <w:r>
        <w:rPr>
          <w:u w:val="single"/>
        </w:rPr>
        <w:tab/>
      </w:r>
    </w:p>
  </w:footnote>
  <w:footnote w:type="continuationNotice" w:id="1">
    <w:p w14:paraId="2E036786" w14:textId="77777777" w:rsidR="00B61619" w:rsidRDefault="00B61619"/>
  </w:footnote>
  <w:footnote w:id="2">
    <w:p w14:paraId="55600B76" w14:textId="77777777" w:rsidR="001C7DD1" w:rsidRPr="004C6F49" w:rsidRDefault="001C7DD1" w:rsidP="00D61DB6">
      <w:pPr>
        <w:pStyle w:val="FootnoteText"/>
        <w:ind w:left="1124" w:right="1138" w:hanging="562"/>
        <w:rPr>
          <w:color w:val="000000"/>
        </w:rPr>
      </w:pPr>
      <w:r>
        <w:tab/>
      </w:r>
      <w:r>
        <w:rPr>
          <w:rStyle w:val="FootnoteReference"/>
        </w:rPr>
        <w:footnoteRef/>
      </w:r>
      <w:r>
        <w:tab/>
        <w:t>Rapport van de onafhankelijke deskundige voor het onderzoek van de Verenigde Naties naar geweld tegen kinderen (A/61/299), par. 1.</w:t>
      </w:r>
    </w:p>
  </w:footnote>
  <w:footnote w:id="3">
    <w:p w14:paraId="60A47E6A" w14:textId="77777777" w:rsidR="001C7DD1" w:rsidRDefault="001C7DD1" w:rsidP="00D61DB6">
      <w:pPr>
        <w:pStyle w:val="FootnoteText"/>
        <w:ind w:left="1124" w:right="1138" w:hanging="562"/>
      </w:pPr>
      <w:r>
        <w:tab/>
      </w:r>
      <w:r>
        <w:rPr>
          <w:rStyle w:val="FootnoteReference"/>
        </w:rPr>
        <w:footnoteRef/>
      </w:r>
      <w:r>
        <w:tab/>
        <w:t>Vertalingen van het Verdrag in andere talen geven niet altijd precies dezelfde betekenis van de Engelse term “violence” weer.</w:t>
      </w:r>
    </w:p>
  </w:footnote>
  <w:footnote w:id="4">
    <w:p w14:paraId="21928C77" w14:textId="77777777" w:rsidR="001C7DD1" w:rsidRPr="00E1611A" w:rsidRDefault="001C7DD1" w:rsidP="00D61DB6">
      <w:pPr>
        <w:pStyle w:val="FootnoteText"/>
        <w:ind w:left="1124" w:right="1138" w:hanging="562"/>
      </w:pPr>
      <w:r>
        <w:tab/>
      </w:r>
      <w:r>
        <w:rPr>
          <w:rStyle w:val="FootnoteReference"/>
          <w:szCs w:val="24"/>
        </w:rPr>
        <w:footnoteRef/>
      </w:r>
      <w:r>
        <w:t xml:space="preserve">Besluit van de Algemene Vergadering 64/142, bijlage. </w:t>
      </w:r>
    </w:p>
  </w:footnote>
  <w:footnote w:id="5">
    <w:p w14:paraId="0E23708C" w14:textId="77777777" w:rsidR="001C7DD1" w:rsidRPr="00AC7495" w:rsidRDefault="001C7DD1" w:rsidP="00D61DB6">
      <w:pPr>
        <w:pStyle w:val="FootnoteText"/>
        <w:ind w:left="1124" w:right="1138" w:hanging="562"/>
      </w:pPr>
      <w:r>
        <w:tab/>
      </w:r>
      <w:r>
        <w:rPr>
          <w:rStyle w:val="FootnoteReference"/>
        </w:rPr>
        <w:footnoteRef/>
      </w:r>
      <w:r>
        <w:tab/>
      </w:r>
      <w:r>
        <w:rPr>
          <w:rStyle w:val="FootnoteTextChar"/>
        </w:rPr>
        <w:t>Zie de Richtlijnen voor Rechtspraak in Zaken met betrekking tot Kinderslachtoffers en Misdaadgetuigen (Resolutie Economische en Sociale Raad 2005/20, bijlage).</w:t>
      </w:r>
    </w:p>
  </w:footnote>
  <w:footnote w:id="6">
    <w:p w14:paraId="00A170FF" w14:textId="77777777" w:rsidR="001C7DD1" w:rsidRPr="00E1611A" w:rsidRDefault="001C7DD1" w:rsidP="00D61DB6">
      <w:pPr>
        <w:pStyle w:val="FootnoteText"/>
        <w:ind w:left="1124" w:right="1138" w:hanging="562"/>
      </w:pPr>
      <w:r>
        <w:tab/>
      </w:r>
      <w:r>
        <w:rPr>
          <w:rStyle w:val="FootnoteReference"/>
          <w:szCs w:val="24"/>
        </w:rPr>
        <w:footnoteRef/>
      </w:r>
      <w:r>
        <w:tab/>
        <w:t xml:space="preserve">Zie Paulo Sérgio Pinheiro, onafhankelijk deskundige voor het onderzoek van de Secretaris-Generaal van de Verenigde Naties naar geweld tegen kinderen </w:t>
      </w:r>
      <w:r>
        <w:rPr>
          <w:i/>
          <w:szCs w:val="24"/>
        </w:rPr>
        <w:t>World Report on Violence against Children</w:t>
      </w:r>
      <w:r>
        <w:t xml:space="preserve"> (Genève, 2006), pp. 63-66.</w:t>
      </w:r>
    </w:p>
  </w:footnote>
  <w:footnote w:id="7">
    <w:p w14:paraId="4C789AB6" w14:textId="77777777" w:rsidR="001C7DD1" w:rsidRPr="00E1611A" w:rsidRDefault="001C7DD1" w:rsidP="00162BCF">
      <w:pPr>
        <w:pStyle w:val="FootnoteText"/>
        <w:ind w:left="1124" w:right="1138" w:hanging="562"/>
      </w:pPr>
      <w:r>
        <w:tab/>
      </w:r>
      <w:r>
        <w:rPr>
          <w:rStyle w:val="FootnoteReference"/>
          <w:szCs w:val="24"/>
        </w:rPr>
        <w:footnoteRef/>
      </w:r>
      <w:r>
        <w:tab/>
        <w:t xml:space="preserve">Staten die partij zijn bij het Verdrag zijn ook verplicht verzorgers te steunen bij het voorkomen van ongelukken (art. 19 en art. 24, lid. 2 )). </w:t>
      </w:r>
    </w:p>
  </w:footnote>
  <w:footnote w:id="8">
    <w:p w14:paraId="49D41B2C" w14:textId="77777777" w:rsidR="001C7DD1" w:rsidRPr="00162BCF" w:rsidRDefault="001C7DD1" w:rsidP="00162BCF">
      <w:pPr>
        <w:pStyle w:val="FootnoteText"/>
        <w:ind w:left="1124" w:right="1138" w:hanging="562"/>
        <w:rPr>
          <w:szCs w:val="24"/>
        </w:rPr>
      </w:pPr>
      <w:r>
        <w:tab/>
      </w:r>
      <w:r>
        <w:rPr>
          <w:rStyle w:val="FootnoteReference"/>
        </w:rPr>
        <w:footnoteRef/>
      </w:r>
      <w:r>
        <w:tab/>
        <w:t>In veel landen worden kinderen achtergelaten omdat ouders en verzorgers in armoede leven en onvoldoende middelen hebben om voor ze te zorgen. Volgens de definitie is verwaarlozing het niet geven van zorg terwijl de ouders de middelen hebben om aan de behoeften van hun kinderen te voldoen. Het Comité heeft er bij Staten die partij zijn bij het Verdrag vaak op aangedrongen “ouders en wettelijk voogden passende hulp te bieden bij de vervulling van hun opvoedingstaak” (art. 18, lid 2 van het Verdrag).</w:t>
      </w:r>
    </w:p>
  </w:footnote>
  <w:footnote w:id="9">
    <w:p w14:paraId="6923513B" w14:textId="77777777" w:rsidR="001C7DD1" w:rsidRPr="00162BCF" w:rsidRDefault="001C7DD1" w:rsidP="00162BCF">
      <w:pPr>
        <w:pStyle w:val="FootnoteText"/>
        <w:ind w:left="1124" w:right="1138" w:hanging="562"/>
        <w:rPr>
          <w:szCs w:val="24"/>
        </w:rPr>
      </w:pPr>
      <w:r>
        <w:tab/>
      </w:r>
      <w:r>
        <w:rPr>
          <w:rStyle w:val="FootnoteReference"/>
        </w:rPr>
        <w:footnoteRef/>
      </w:r>
      <w:r>
        <w:tab/>
        <w:t>“Koeioneren” verwijst naar rituelen en andere activiteiten als treiteren, geweld of vernedering als vormen van ontgroening ter introductie van iemand in een groep.</w:t>
      </w:r>
    </w:p>
  </w:footnote>
  <w:footnote w:id="10">
    <w:p w14:paraId="0AF03401" w14:textId="77777777" w:rsidR="001C7DD1" w:rsidRPr="00162BCF" w:rsidRDefault="001C7DD1" w:rsidP="00997604">
      <w:pPr>
        <w:pStyle w:val="FootnoteText"/>
      </w:pPr>
      <w:r>
        <w:tab/>
      </w:r>
      <w:r>
        <w:rPr>
          <w:rStyle w:val="FootnoteReference"/>
        </w:rPr>
        <w:footnoteRef/>
      </w:r>
      <w:r>
        <w:tab/>
        <w:t xml:space="preserve">Seksueel misbruik omvat alle seksuele activiteiten die door een volwassene aan een kind worden opgelegd en waartegen het kind recht heeft op bescherming door het strafrecht. Seksuele activiteiten worden ook als misbruik beschouwd als ze door een ander kind tegen een kind worden gepleegd, als de jeugdige overtreder aanzienlijk ouder is dan het kindslachtoffer of als hij macht, bedreiging of andere vormen van druk gebruikt. Seksuele activiteiten tussen kinderen worden niet als seksueel misbruik beschouwd als de kinderen ouder zijn dan de leeftijdsgrens die door de staat is vastgesteld voor seksuele handelingen met wederzijds goedvinden. </w:t>
      </w:r>
    </w:p>
  </w:footnote>
  <w:footnote w:id="11">
    <w:p w14:paraId="3C07CF99" w14:textId="77777777" w:rsidR="001C7DD1" w:rsidRPr="00162BCF" w:rsidRDefault="001C7DD1" w:rsidP="00162BCF">
      <w:pPr>
        <w:pStyle w:val="FootnoteText"/>
        <w:ind w:left="1124" w:right="1138" w:hanging="562"/>
        <w:rPr>
          <w:szCs w:val="24"/>
        </w:rPr>
      </w:pPr>
      <w:r>
        <w:tab/>
      </w:r>
      <w:r>
        <w:rPr>
          <w:rStyle w:val="FootnoteReference"/>
        </w:rPr>
        <w:footnoteRef/>
      </w:r>
      <w:r>
        <w:tab/>
        <w:t>Informatietechnologieën zoals internet en mobiele telefoons hebben een groot potentieel als positief hulpmiddel om kinderen te beschermen en als een manier om verdacht of daadwerkelijk geweld of mishandeling te melden. Er moet een beschermende omgeving worden gecreëerd door middel van regulering van en toezicht op informatietechnologieën, waaronder het in staat stellen van kinderen om deze technologieën veilig te gebruiken.</w:t>
      </w:r>
    </w:p>
  </w:footnote>
  <w:footnote w:id="12">
    <w:p w14:paraId="12B3F421" w14:textId="77777777" w:rsidR="001C7DD1" w:rsidRPr="00E1611A" w:rsidRDefault="001C7DD1" w:rsidP="00D61DB6">
      <w:pPr>
        <w:pStyle w:val="FootnoteText"/>
        <w:ind w:left="1124" w:right="1138" w:hanging="562"/>
        <w:rPr>
          <w:szCs w:val="24"/>
        </w:rPr>
      </w:pPr>
      <w:r>
        <w:tab/>
      </w:r>
      <w:r>
        <w:rPr>
          <w:rStyle w:val="FootnoteReference"/>
        </w:rPr>
        <w:footnoteRef/>
      </w:r>
      <w:r>
        <w:tab/>
        <w:t>Blootstelling aan pornografie kan leiden tot een toename van seksueel misbruik tussen kinderen, aangezien kinderen die worden blootgesteld aan pornografie, "uitproberen" wat ze in de praktijk hebben gezien met jongere kinderen of degenen tot wie zij gemakkelijk toegang hebben en die ze in hun macht hebben.</w:t>
      </w:r>
    </w:p>
  </w:footnote>
  <w:footnote w:id="13">
    <w:p w14:paraId="1CA95DC6" w14:textId="77777777" w:rsidR="001C7DD1" w:rsidRPr="00162BCF" w:rsidRDefault="001C7DD1" w:rsidP="00162BCF">
      <w:pPr>
        <w:pStyle w:val="FootnoteText"/>
        <w:ind w:left="1124" w:right="1138" w:hanging="562"/>
        <w:rPr>
          <w:szCs w:val="24"/>
        </w:rPr>
      </w:pPr>
      <w:r>
        <w:tab/>
      </w:r>
      <w:r>
        <w:rPr>
          <w:rStyle w:val="FootnoteReference"/>
        </w:rPr>
        <w:footnoteRef/>
      </w:r>
      <w:r>
        <w:tab/>
        <w:t xml:space="preserve">Naar een door het EUKids Online project ontwikkelde tabel, aangehaald in </w:t>
      </w:r>
      <w:r>
        <w:rPr>
          <w:i/>
          <w:szCs w:val="24"/>
        </w:rPr>
        <w:t xml:space="preserve">AUPs in Context: Establishing Safe and Responsible Online Behaviours </w:t>
      </w:r>
      <w:r>
        <w:t>(Vaststelling van Veilig en Verantwoord Online Gedrag)(Becta, 2009), p. 6. Zie ook de Rio de Janeiro Verklaring en de Roep om Actie om Seksuele Uitbuiting van Kinderen en Adolescenten te voorkomen en tegen te gaan. Te vinden op: http://iiicongressomundial.net/congresso/arquivos/Rio%20Declaration%20and%20Call%20for%20Action%20-%20FINAL%20Version.pdf.</w:t>
      </w:r>
    </w:p>
  </w:footnote>
  <w:footnote w:id="14">
    <w:p w14:paraId="287F28DB" w14:textId="77777777" w:rsidR="001C7DD1" w:rsidRPr="00162BCF" w:rsidRDefault="001C7DD1" w:rsidP="003F7BB7">
      <w:pPr>
        <w:pStyle w:val="FootnoteText"/>
        <w:ind w:left="1124" w:right="1138" w:hanging="562"/>
        <w:rPr>
          <w:szCs w:val="24"/>
        </w:rPr>
      </w:pPr>
      <w:r>
        <w:tab/>
      </w:r>
      <w:r>
        <w:rPr>
          <w:rStyle w:val="FootnoteReference"/>
        </w:rPr>
        <w:footnoteRef/>
      </w:r>
      <w:r>
        <w:tab/>
        <w:t xml:space="preserve">Overeenkomstig het eerdere advies van het Comité aan Staten die partij zijn bij het Verdrag om de huwbare leeftijd te verhogen naar 18 jaar voor zowel meisjes als jongens (General Comment nr. 4 (2003) inzake de gezondheid en ontwikkeling van adolescenten in de context van het Verdrag voor de Rechten van het Kind, par. 20), en gelet op hun specifieke kwetsbaarheid voor mishandeling, is het Comité van oordeel dat artikel 19 ook van toepassing is op kinderen jonger dan 18 jaar die door een huwelijk op jonge leeftijd en/of een gedwongen huwelijk meerderjarig of mondig zijn geworden. </w:t>
      </w:r>
    </w:p>
  </w:footnote>
  <w:footnote w:id="15">
    <w:p w14:paraId="314F2EAE" w14:textId="77777777" w:rsidR="001C7DD1" w:rsidRPr="00162BCF" w:rsidRDefault="001C7DD1" w:rsidP="00162BCF">
      <w:pPr>
        <w:pStyle w:val="FootnoteText"/>
        <w:ind w:left="1124" w:right="1138" w:hanging="562"/>
        <w:rPr>
          <w:szCs w:val="24"/>
        </w:rPr>
      </w:pPr>
      <w:r>
        <w:tab/>
      </w:r>
      <w:r>
        <w:rPr>
          <w:rStyle w:val="FootnoteReference"/>
        </w:rPr>
        <w:footnoteRef/>
      </w:r>
      <w:r>
        <w:rPr>
          <w:rStyle w:val="FootnoteReference"/>
        </w:rPr>
        <w:tab/>
      </w:r>
      <w:r>
        <w:t>Het onderzoek van de Verenigde Naties naar geweld tegen kinderen omschrijft omgevingen waarin geweld tegen kinderen voorkomt; zie ook de gedetailleerde begeleiding in de Richtlijnen voor Alternatieve Zorg voor Kinderen.</w:t>
      </w:r>
    </w:p>
  </w:footnote>
  <w:footnote w:id="16">
    <w:p w14:paraId="45BE89E0" w14:textId="77777777" w:rsidR="001C7DD1" w:rsidRPr="00162BCF" w:rsidRDefault="001C7DD1" w:rsidP="00D61DB6">
      <w:pPr>
        <w:pStyle w:val="FootnoteText"/>
        <w:ind w:left="1124" w:right="1138" w:hanging="562"/>
        <w:rPr>
          <w:szCs w:val="24"/>
        </w:rPr>
      </w:pPr>
      <w:r>
        <w:tab/>
      </w:r>
      <w:r>
        <w:rPr>
          <w:rStyle w:val="FootnoteReference"/>
        </w:rPr>
        <w:footnoteRef/>
      </w:r>
      <w:r>
        <w:tab/>
        <w:t>Als omschreven in General Comment nr. 6 (2005), par. 7  van het Comité.</w:t>
      </w:r>
    </w:p>
  </w:footnote>
  <w:footnote w:id="17">
    <w:p w14:paraId="39BC26D9" w14:textId="77777777" w:rsidR="001C7DD1" w:rsidRPr="00162BCF" w:rsidRDefault="001C7DD1" w:rsidP="00D61DB6">
      <w:pPr>
        <w:pStyle w:val="FootnoteText"/>
        <w:ind w:left="1124" w:right="1138" w:hanging="562"/>
        <w:rPr>
          <w:szCs w:val="24"/>
        </w:rPr>
      </w:pPr>
      <w:r>
        <w:tab/>
      </w:r>
      <w:r>
        <w:rPr>
          <w:rStyle w:val="FootnoteReference"/>
        </w:rPr>
        <w:footnoteRef/>
      </w:r>
      <w:r>
        <w:tab/>
        <w:t>Zie in het bijzonder par. 9 (reeks van vereiste maatregelen), 13 en 15 (over intrekken en geschiktheid van bedenkingen), en 66 en 67 (verspreiding van het Verdrag).</w:t>
      </w:r>
    </w:p>
  </w:footnote>
  <w:footnote w:id="18">
    <w:p w14:paraId="022B2FD2" w14:textId="77777777" w:rsidR="001C7DD1" w:rsidRPr="00E1611A" w:rsidRDefault="001C7DD1" w:rsidP="00D61DB6">
      <w:pPr>
        <w:pStyle w:val="FootnoteText"/>
        <w:ind w:left="1124" w:right="1138" w:hanging="562"/>
        <w:rPr>
          <w:szCs w:val="24"/>
        </w:rPr>
      </w:pPr>
      <w:r>
        <w:tab/>
      </w:r>
      <w:r>
        <w:rPr>
          <w:rStyle w:val="FootnoteReference"/>
        </w:rPr>
        <w:footnoteRef/>
      </w:r>
      <w:r>
        <w:tab/>
        <w:t>In de context van “sancties” sluit de term “plegers” kinderen die zichzelf schade toebrengen uit. De behandeling van kinderen die andere kinderen schade toebrengen moet informatief en therapeutisch zijn.</w:t>
      </w:r>
    </w:p>
  </w:footnote>
  <w:footnote w:id="19">
    <w:p w14:paraId="4DD64EB9" w14:textId="77777777" w:rsidR="001C7DD1" w:rsidRPr="00162BCF" w:rsidRDefault="001C7DD1" w:rsidP="00D61DB6">
      <w:pPr>
        <w:pStyle w:val="FootnoteText"/>
        <w:ind w:left="1124" w:right="1138" w:hanging="562"/>
        <w:rPr>
          <w:szCs w:val="24"/>
        </w:rPr>
      </w:pPr>
      <w:r>
        <w:tab/>
      </w:r>
      <w:r>
        <w:rPr>
          <w:rStyle w:val="FootnoteReference"/>
        </w:rPr>
        <w:footnoteRef/>
      </w:r>
      <w:r>
        <w:tab/>
        <w:t>Zie General Comment nr. 2, met name par. 1, 2, 4 en 19.</w:t>
      </w:r>
    </w:p>
  </w:footnote>
  <w:footnote w:id="20">
    <w:p w14:paraId="3196FB55" w14:textId="77777777" w:rsidR="001C7DD1" w:rsidRPr="00162BCF" w:rsidRDefault="001C7DD1" w:rsidP="00D61DB6">
      <w:pPr>
        <w:pStyle w:val="FootnoteText"/>
        <w:ind w:left="1124" w:right="1138" w:hanging="562"/>
        <w:rPr>
          <w:szCs w:val="24"/>
        </w:rPr>
      </w:pPr>
      <w:r>
        <w:tab/>
      </w:r>
      <w:r>
        <w:rPr>
          <w:rStyle w:val="FootnoteReference"/>
        </w:rPr>
        <w:footnoteRef/>
      </w:r>
      <w:r>
        <w:rPr>
          <w:rStyle w:val="FootnoteReference"/>
        </w:rPr>
        <w:t xml:space="preserve"> </w:t>
      </w:r>
      <w:r>
        <w:tab/>
        <w:t>De gedetailleerde begeleiding in de Richtlijnen voor Alternatieve Zorg voor Kinderen, moeten ook in elke fase in aanmerking worden genomen.</w:t>
      </w:r>
    </w:p>
  </w:footnote>
  <w:footnote w:id="21">
    <w:p w14:paraId="0834BA7B" w14:textId="77777777" w:rsidR="001C7DD1" w:rsidRPr="00162BCF" w:rsidRDefault="001C7DD1" w:rsidP="00D61DB6">
      <w:pPr>
        <w:pStyle w:val="FootnoteText"/>
        <w:ind w:left="1124" w:right="1138" w:hanging="562"/>
        <w:rPr>
          <w:szCs w:val="24"/>
        </w:rPr>
      </w:pPr>
      <w:r>
        <w:tab/>
      </w:r>
      <w:r>
        <w:rPr>
          <w:rStyle w:val="FootnoteReference"/>
        </w:rPr>
        <w:footnoteRef/>
      </w:r>
      <w:r>
        <w:tab/>
        <w:t xml:space="preserve">Mensenrechtencomité, General Comment nr. 17 (1989) inzake de rechten van het kind; Europese Hof voor de Rechten van de Mens </w:t>
      </w:r>
      <w:r>
        <w:rPr>
          <w:i/>
          <w:szCs w:val="24"/>
        </w:rPr>
        <w:t xml:space="preserve">Olsson tegen Zweden </w:t>
      </w:r>
      <w:r>
        <w:t xml:space="preserve">(nr. 1), Uitspraak van 24 maart 1988, Serie A nr. 130, par. 81; Inter-Amerikaans Hof voor de Rechten van de Mens, </w:t>
      </w:r>
      <w:r>
        <w:rPr>
          <w:i/>
          <w:szCs w:val="24"/>
        </w:rPr>
        <w:t>Velásquez Rodríguez tegen Honduras</w:t>
      </w:r>
      <w:r>
        <w:t>, Uitspraak ten principale, 10 januari 1989, Serie C, nr. 3, par. 172.</w:t>
      </w:r>
    </w:p>
  </w:footnote>
  <w:footnote w:id="22">
    <w:p w14:paraId="69E2C8EA" w14:textId="77777777" w:rsidR="001C7DD1" w:rsidRPr="00162BCF" w:rsidRDefault="001C7DD1" w:rsidP="00162BCF">
      <w:pPr>
        <w:pStyle w:val="FootnoteText"/>
        <w:ind w:left="1124" w:right="1138" w:hanging="562"/>
        <w:rPr>
          <w:szCs w:val="24"/>
        </w:rPr>
      </w:pPr>
      <w:r>
        <w:tab/>
      </w:r>
      <w:r>
        <w:rPr>
          <w:rStyle w:val="FootnoteReference"/>
        </w:rPr>
        <w:footnoteRef/>
      </w:r>
      <w:r>
        <w:tab/>
        <w:t>Par. 48 e.v. kan ook worden toegepast op processen in de inofficiële en gangbare rechtssystemen.</w:t>
      </w:r>
    </w:p>
  </w:footnote>
  <w:footnote w:id="23">
    <w:p w14:paraId="3C4296BE" w14:textId="6B38F437" w:rsidR="001C7DD1" w:rsidRPr="00162BCF" w:rsidRDefault="001C7DD1" w:rsidP="00D61DB6">
      <w:pPr>
        <w:pStyle w:val="FootnoteText"/>
        <w:ind w:left="1124" w:right="1138" w:hanging="562"/>
        <w:rPr>
          <w:szCs w:val="24"/>
        </w:rPr>
      </w:pPr>
      <w:r>
        <w:tab/>
      </w:r>
      <w:r>
        <w:rPr>
          <w:rStyle w:val="FootnoteReference"/>
        </w:rPr>
        <w:footnoteRef/>
      </w:r>
      <w:r>
        <w:tab/>
        <w:t xml:space="preserve">Zie ook de Richtlijnen over de Rechtspraak in </w:t>
      </w:r>
      <w:r>
        <w:rPr>
          <w:rStyle w:val="FootnoteTextChar"/>
        </w:rPr>
        <w:t>Zaken met</w:t>
      </w:r>
      <w:r>
        <w:t xml:space="preserve"> Kinderen die slachtoffer en Getuige zijn van een Misdrijf.</w:t>
      </w:r>
    </w:p>
  </w:footnote>
  <w:footnote w:id="24">
    <w:p w14:paraId="619DD9C7" w14:textId="77777777" w:rsidR="001C7DD1" w:rsidRPr="00162BCF" w:rsidRDefault="001C7DD1" w:rsidP="00162BCF">
      <w:pPr>
        <w:pStyle w:val="FootnoteText"/>
        <w:ind w:left="1124" w:right="1138" w:hanging="562"/>
        <w:rPr>
          <w:szCs w:val="24"/>
        </w:rPr>
      </w:pPr>
      <w:r>
        <w:tab/>
      </w:r>
      <w:r>
        <w:rPr>
          <w:rStyle w:val="FootnoteReference"/>
        </w:rPr>
        <w:footnoteRef/>
      </w:r>
      <w:r>
        <w:tab/>
        <w:t>Zie ook: Richtlijnen van het Comité van Ministers van de Raad van Europa inzake kindvriendelijke rechtspraak, die zijn aangenomen op 17 november 2010; Richtlijnen in Zaken met Kinderen als Slachtoffers en Getuigen van een Misdrijf; en de resolutie van de Algemene Vergadering nr. 65/213.</w:t>
      </w:r>
    </w:p>
  </w:footnote>
  <w:footnote w:id="25">
    <w:p w14:paraId="7FB89090" w14:textId="77777777" w:rsidR="001C7DD1" w:rsidRPr="00162BCF" w:rsidRDefault="001C7DD1" w:rsidP="00162BCF">
      <w:pPr>
        <w:pStyle w:val="FootnoteText"/>
        <w:ind w:left="1124" w:right="1138" w:hanging="562"/>
        <w:rPr>
          <w:szCs w:val="24"/>
        </w:rPr>
      </w:pPr>
      <w:r>
        <w:tab/>
      </w:r>
      <w:r>
        <w:rPr>
          <w:rStyle w:val="FootnoteReference"/>
        </w:rPr>
        <w:footnoteRef/>
      </w:r>
      <w:r>
        <w:rPr>
          <w:rStyle w:val="FootnoteReference"/>
        </w:rPr>
        <w:t xml:space="preserve"> </w:t>
      </w:r>
      <w:r>
        <w:rPr>
          <w:rStyle w:val="FootnoteReference"/>
        </w:rPr>
        <w:tab/>
      </w:r>
      <w:r>
        <w:t>Zie ook de overkoepelende aanbevelingen van de onafhankelijke deskundige voor het onderzoek van de Verenigde Naties over geweld tegen kinderen (A/61/299), par. 96.</w:t>
      </w:r>
    </w:p>
  </w:footnote>
  <w:footnote w:id="26">
    <w:p w14:paraId="668EEC61" w14:textId="77777777" w:rsidR="001C7DD1" w:rsidRPr="00162BCF" w:rsidRDefault="001C7DD1" w:rsidP="00BE5E61">
      <w:pPr>
        <w:pStyle w:val="FootnoteText"/>
        <w:ind w:left="1124" w:right="1138" w:hanging="103"/>
        <w:rPr>
          <w:szCs w:val="24"/>
        </w:rPr>
      </w:pPr>
      <w:r>
        <w:rPr>
          <w:rStyle w:val="FootnoteReference"/>
        </w:rPr>
        <w:footnoteRef/>
      </w:r>
      <w:r>
        <w:t xml:space="preserve"> Zie ook de Richtlijnen voor de Alternatieve Zorg voor Kinderen.</w:t>
      </w:r>
    </w:p>
  </w:footnote>
  <w:footnote w:id="27">
    <w:p w14:paraId="140F400C" w14:textId="77777777" w:rsidR="001C7DD1" w:rsidRPr="00E1611A" w:rsidRDefault="001C7DD1" w:rsidP="00D61DB6">
      <w:pPr>
        <w:pStyle w:val="FootnoteText"/>
        <w:ind w:left="1124" w:right="1138" w:hanging="562"/>
        <w:rPr>
          <w:szCs w:val="24"/>
        </w:rPr>
      </w:pPr>
      <w:r>
        <w:tab/>
      </w:r>
      <w:r>
        <w:rPr>
          <w:rStyle w:val="FootnoteReference"/>
        </w:rPr>
        <w:footnoteRef/>
      </w:r>
      <w:r>
        <w:t xml:space="preserve"> </w:t>
      </w:r>
      <w:r>
        <w:tab/>
        <w:t>In sommige samenlevingen, in tegenstelling tot niet-inheemse families, is "verwaarlozing" in tegenstelling tot "misbruik" de voornaamste reden die leidt tot de verwijdering van inheemse kinderen uit hun familie. Niet-punitieve gezinsondersteunende diensten en interventies die direct oorzaken aanpakken (zoals armoede, huisvesting en historische omstandigheden) zijn vaak meer geschikt. Er zijn specifieke inspanningen nodig om discriminatie bij het aanbieden van diensten aan te pakken en de reeks interventieopties die beschikbaar zijn voor inheemse en andere minderheidsgemeenschappen.</w:t>
      </w:r>
    </w:p>
  </w:footnote>
  <w:footnote w:id="28">
    <w:p w14:paraId="2818DB09" w14:textId="452FF678" w:rsidR="001C7DD1" w:rsidRPr="00162BCF" w:rsidRDefault="001C7DD1" w:rsidP="00162BCF">
      <w:pPr>
        <w:pStyle w:val="FootnoteText"/>
        <w:ind w:left="1124" w:right="1138" w:hanging="562"/>
        <w:rPr>
          <w:szCs w:val="24"/>
        </w:rPr>
      </w:pPr>
      <w:r>
        <w:tab/>
      </w:r>
      <w:r>
        <w:rPr>
          <w:rStyle w:val="FootnoteReference"/>
        </w:rPr>
        <w:footnoteRef/>
      </w:r>
      <w:r>
        <w:tab/>
        <w:t>Zie General Comment nr. 5 (par. 61, 62 en 64) over: de noodzaak van de normalisering van kinderrechten in internationale samenwerking en technische bijstand; de noodzaak van die samenwerking en bijstand op basis van het Verdrag en volledige ondersteuning voor de uitvoering van het Verdrag; de toewijzing van een belangrijk deel van de internationale hulp en bijstand specifiek aan kinderen; en de noodzaak van beleidsdocumenten voor armoedebestrijding en sectorbrede benaderingen van ontwikkeling met een sterke nadruk op kinderrechten.</w:t>
      </w:r>
    </w:p>
  </w:footnote>
  <w:footnote w:id="29">
    <w:p w14:paraId="5C97B778" w14:textId="77777777" w:rsidR="001C7DD1" w:rsidRPr="00E1611A" w:rsidRDefault="001C7DD1" w:rsidP="0081012F">
      <w:pPr>
        <w:pStyle w:val="FootnoteText"/>
      </w:pPr>
      <w:r>
        <w:tab/>
      </w:r>
      <w:r>
        <w:rPr>
          <w:rStyle w:val="FootnoteReference"/>
        </w:rPr>
        <w:footnoteRef/>
      </w:r>
      <w:r>
        <w:tab/>
        <w:t>A/61/299, par. 117.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AB875" w14:textId="77777777" w:rsidR="001C7DD1" w:rsidRPr="005A0FD9" w:rsidRDefault="001C7DD1">
    <w:pPr>
      <w:pStyle w:val="Header"/>
    </w:pPr>
    <w:r>
      <w:t>CRC/C/GC/13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D8D1F" w14:textId="77777777" w:rsidR="001C7DD1" w:rsidRPr="005A0FD9" w:rsidRDefault="001C7DD1" w:rsidP="005A0FD9">
    <w:pPr>
      <w:pStyle w:val="Header"/>
      <w:jc w:val="right"/>
    </w:pPr>
    <w:r>
      <w:t>CRC/C/GC/13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C7A41" w14:textId="77777777" w:rsidR="005B064F" w:rsidRDefault="005B06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F4DE9"/>
    <w:multiLevelType w:val="hybridMultilevel"/>
    <w:tmpl w:val="32206874"/>
    <w:lvl w:ilvl="0" w:tplc="0413000F">
      <w:start w:val="1"/>
      <w:numFmt w:val="decimal"/>
      <w:lvlText w:val="%1."/>
      <w:lvlJc w:val="left"/>
      <w:pPr>
        <w:tabs>
          <w:tab w:val="num" w:pos="360"/>
        </w:tabs>
        <w:ind w:left="360" w:hanging="360"/>
      </w:pPr>
      <w:rPr>
        <w:rFonts w:eastAsia="Times New Roman" w:cs="Times New Roman" w:hint="default"/>
        <w:color w:val="auto"/>
      </w:rPr>
    </w:lvl>
    <w:lvl w:ilvl="1" w:tplc="08090001">
      <w:start w:val="1"/>
      <w:numFmt w:val="bullet"/>
      <w:lvlText w:val=""/>
      <w:lvlJc w:val="left"/>
      <w:pPr>
        <w:tabs>
          <w:tab w:val="num" w:pos="1080"/>
        </w:tabs>
        <w:ind w:left="1080" w:hanging="360"/>
      </w:pPr>
      <w:rPr>
        <w:rFonts w:ascii="Symbol" w:hAnsi="Symbol"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541C24"/>
    <w:multiLevelType w:val="hybridMultilevel"/>
    <w:tmpl w:val="47DE7104"/>
    <w:lvl w:ilvl="0" w:tplc="08090001">
      <w:start w:val="1"/>
      <w:numFmt w:val="bullet"/>
      <w:lvlText w:val=""/>
      <w:lvlJc w:val="left"/>
      <w:pPr>
        <w:tabs>
          <w:tab w:val="num" w:pos="480"/>
        </w:tabs>
        <w:ind w:left="480" w:hanging="360"/>
      </w:pPr>
      <w:rPr>
        <w:rFonts w:ascii="Symbol" w:hAnsi="Symbol" w:hint="default"/>
      </w:rPr>
    </w:lvl>
    <w:lvl w:ilvl="1" w:tplc="08090003">
      <w:start w:val="1"/>
      <w:numFmt w:val="bullet"/>
      <w:lvlText w:val="o"/>
      <w:lvlJc w:val="left"/>
      <w:pPr>
        <w:tabs>
          <w:tab w:val="num" w:pos="1200"/>
        </w:tabs>
        <w:ind w:left="1200" w:hanging="360"/>
      </w:pPr>
      <w:rPr>
        <w:rFonts w:ascii="Courier New" w:hAnsi="Courier New" w:cs="Constantia" w:hint="default"/>
      </w:rPr>
    </w:lvl>
    <w:lvl w:ilvl="2" w:tplc="08090005" w:tentative="1">
      <w:start w:val="1"/>
      <w:numFmt w:val="bullet"/>
      <w:lvlText w:val=""/>
      <w:lvlJc w:val="left"/>
      <w:pPr>
        <w:tabs>
          <w:tab w:val="num" w:pos="1920"/>
        </w:tabs>
        <w:ind w:left="1920" w:hanging="360"/>
      </w:pPr>
      <w:rPr>
        <w:rFonts w:ascii="Wingdings" w:hAnsi="Wingdings" w:hint="default"/>
      </w:rPr>
    </w:lvl>
    <w:lvl w:ilvl="3" w:tplc="08090001" w:tentative="1">
      <w:start w:val="1"/>
      <w:numFmt w:val="bullet"/>
      <w:lvlText w:val=""/>
      <w:lvlJc w:val="left"/>
      <w:pPr>
        <w:tabs>
          <w:tab w:val="num" w:pos="2640"/>
        </w:tabs>
        <w:ind w:left="2640" w:hanging="360"/>
      </w:pPr>
      <w:rPr>
        <w:rFonts w:ascii="Symbol" w:hAnsi="Symbol" w:hint="default"/>
      </w:rPr>
    </w:lvl>
    <w:lvl w:ilvl="4" w:tplc="08090003" w:tentative="1">
      <w:start w:val="1"/>
      <w:numFmt w:val="bullet"/>
      <w:lvlText w:val="o"/>
      <w:lvlJc w:val="left"/>
      <w:pPr>
        <w:tabs>
          <w:tab w:val="num" w:pos="3360"/>
        </w:tabs>
        <w:ind w:left="3360" w:hanging="360"/>
      </w:pPr>
      <w:rPr>
        <w:rFonts w:ascii="Courier New" w:hAnsi="Courier New" w:cs="Constantia" w:hint="default"/>
      </w:rPr>
    </w:lvl>
    <w:lvl w:ilvl="5" w:tplc="08090005" w:tentative="1">
      <w:start w:val="1"/>
      <w:numFmt w:val="bullet"/>
      <w:lvlText w:val=""/>
      <w:lvlJc w:val="left"/>
      <w:pPr>
        <w:tabs>
          <w:tab w:val="num" w:pos="4080"/>
        </w:tabs>
        <w:ind w:left="4080" w:hanging="360"/>
      </w:pPr>
      <w:rPr>
        <w:rFonts w:ascii="Wingdings" w:hAnsi="Wingdings" w:hint="default"/>
      </w:rPr>
    </w:lvl>
    <w:lvl w:ilvl="6" w:tplc="08090001" w:tentative="1">
      <w:start w:val="1"/>
      <w:numFmt w:val="bullet"/>
      <w:lvlText w:val=""/>
      <w:lvlJc w:val="left"/>
      <w:pPr>
        <w:tabs>
          <w:tab w:val="num" w:pos="4800"/>
        </w:tabs>
        <w:ind w:left="4800" w:hanging="360"/>
      </w:pPr>
      <w:rPr>
        <w:rFonts w:ascii="Symbol" w:hAnsi="Symbol" w:hint="default"/>
      </w:rPr>
    </w:lvl>
    <w:lvl w:ilvl="7" w:tplc="08090003" w:tentative="1">
      <w:start w:val="1"/>
      <w:numFmt w:val="bullet"/>
      <w:lvlText w:val="o"/>
      <w:lvlJc w:val="left"/>
      <w:pPr>
        <w:tabs>
          <w:tab w:val="num" w:pos="5520"/>
        </w:tabs>
        <w:ind w:left="5520" w:hanging="360"/>
      </w:pPr>
      <w:rPr>
        <w:rFonts w:ascii="Courier New" w:hAnsi="Courier New" w:cs="Constantia" w:hint="default"/>
      </w:rPr>
    </w:lvl>
    <w:lvl w:ilvl="8" w:tplc="08090005" w:tentative="1">
      <w:start w:val="1"/>
      <w:numFmt w:val="bullet"/>
      <w:lvlText w:val=""/>
      <w:lvlJc w:val="left"/>
      <w:pPr>
        <w:tabs>
          <w:tab w:val="num" w:pos="6240"/>
        </w:tabs>
        <w:ind w:left="6240" w:hanging="360"/>
      </w:pPr>
      <w:rPr>
        <w:rFonts w:ascii="Wingdings" w:hAnsi="Wingdings" w:hint="default"/>
      </w:rPr>
    </w:lvl>
  </w:abstractNum>
  <w:abstractNum w:abstractNumId="3" w15:restartNumberingAfterBreak="0">
    <w:nsid w:val="0D6F7D90"/>
    <w:multiLevelType w:val="hybridMultilevel"/>
    <w:tmpl w:val="7CEE2B18"/>
    <w:lvl w:ilvl="0" w:tplc="78446AB8">
      <w:start w:val="1"/>
      <w:numFmt w:val="lowerRoman"/>
      <w:lvlText w:val="(%1)"/>
      <w:lvlJc w:val="left"/>
      <w:pPr>
        <w:tabs>
          <w:tab w:val="num" w:pos="2421"/>
        </w:tabs>
        <w:ind w:left="2421" w:hanging="72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4" w15:restartNumberingAfterBreak="0">
    <w:nsid w:val="15EB114D"/>
    <w:multiLevelType w:val="hybridMultilevel"/>
    <w:tmpl w:val="B2A61856"/>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F7421A"/>
    <w:multiLevelType w:val="hybridMultilevel"/>
    <w:tmpl w:val="2BEA26CA"/>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1E7D487C"/>
    <w:multiLevelType w:val="hybridMultilevel"/>
    <w:tmpl w:val="0C321E0C"/>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871BCF"/>
    <w:multiLevelType w:val="hybridMultilevel"/>
    <w:tmpl w:val="275A1682"/>
    <w:lvl w:ilvl="0" w:tplc="41DE5E26">
      <w:start w:val="1"/>
      <w:numFmt w:val="bullet"/>
      <w:pStyle w:val="Bullet"/>
      <w:lvlText w:val=""/>
      <w:lvlJc w:val="left"/>
      <w:pPr>
        <w:tabs>
          <w:tab w:val="num" w:pos="-31680"/>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tant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tant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tant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387252"/>
    <w:multiLevelType w:val="hybridMultilevel"/>
    <w:tmpl w:val="9B72EC64"/>
    <w:lvl w:ilvl="0" w:tplc="9BFA68A2">
      <w:start w:val="43"/>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9" w15:restartNumberingAfterBreak="0">
    <w:nsid w:val="2CD77A7A"/>
    <w:multiLevelType w:val="hybridMultilevel"/>
    <w:tmpl w:val="038696BC"/>
    <w:lvl w:ilvl="0" w:tplc="633A0F80">
      <w:start w:val="1"/>
      <w:numFmt w:val="decimal"/>
      <w:lvlText w:val="%1."/>
      <w:lvlJc w:val="left"/>
      <w:pPr>
        <w:tabs>
          <w:tab w:val="num" w:pos="1674"/>
        </w:tabs>
        <w:ind w:left="1674" w:hanging="54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0" w15:restartNumberingAfterBreak="0">
    <w:nsid w:val="36D84DCC"/>
    <w:multiLevelType w:val="hybridMultilevel"/>
    <w:tmpl w:val="9EF460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nstanti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nstanti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nstanti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E6594"/>
    <w:multiLevelType w:val="hybridMultilevel"/>
    <w:tmpl w:val="46ACAE7A"/>
    <w:lvl w:ilvl="0" w:tplc="EAFEC9E8">
      <w:start w:val="1"/>
      <w:numFmt w:val="decimal"/>
      <w:lvlText w:val="%1."/>
      <w:lvlJc w:val="left"/>
      <w:pPr>
        <w:tabs>
          <w:tab w:val="num" w:pos="1134"/>
        </w:tabs>
        <w:ind w:left="1134" w:firstLine="0"/>
      </w:pPr>
      <w:rPr>
        <w:rFonts w:hint="default"/>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2" w15:restartNumberingAfterBreak="0">
    <w:nsid w:val="3CB061AB"/>
    <w:multiLevelType w:val="singleLevel"/>
    <w:tmpl w:val="66CAD4CC"/>
    <w:lvl w:ilvl="0">
      <w:start w:val="1"/>
      <w:numFmt w:val="decimal"/>
      <w:pStyle w:val="ParaNo"/>
      <w:lvlText w:val="%1."/>
      <w:lvlJc w:val="left"/>
      <w:pPr>
        <w:tabs>
          <w:tab w:val="num" w:pos="360"/>
        </w:tabs>
        <w:ind w:left="-1" w:firstLine="1"/>
      </w:pPr>
      <w:rPr>
        <w:rFonts w:hint="default"/>
      </w:rPr>
    </w:lvl>
  </w:abstractNum>
  <w:abstractNum w:abstractNumId="13" w15:restartNumberingAfterBreak="0">
    <w:nsid w:val="59986A89"/>
    <w:multiLevelType w:val="hybridMultilevel"/>
    <w:tmpl w:val="2DFA3C84"/>
    <w:lvl w:ilvl="0" w:tplc="0980DDCA">
      <w:start w:val="1"/>
      <w:numFmt w:val="decimal"/>
      <w:lvlText w:val="%1."/>
      <w:lvlJc w:val="left"/>
      <w:pPr>
        <w:tabs>
          <w:tab w:val="num" w:pos="1134"/>
        </w:tabs>
        <w:ind w:left="1134" w:firstLine="0"/>
      </w:pPr>
      <w:rPr>
        <w:rFonts w:hint="default"/>
        <w:i w:val="0"/>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4" w15:restartNumberingAfterBreak="0">
    <w:nsid w:val="610D7B05"/>
    <w:multiLevelType w:val="hybridMultilevel"/>
    <w:tmpl w:val="D0723DEC"/>
    <w:lvl w:ilvl="0" w:tplc="08090001">
      <w:start w:val="1"/>
      <w:numFmt w:val="bullet"/>
      <w:lvlText w:val=""/>
      <w:lvlJc w:val="left"/>
      <w:pPr>
        <w:tabs>
          <w:tab w:val="num" w:pos="720"/>
        </w:tabs>
        <w:ind w:left="720" w:hanging="360"/>
      </w:pPr>
      <w:rPr>
        <w:rFonts w:ascii="Symbol" w:hAnsi="Symbol" w:hint="default"/>
      </w:rPr>
    </w:lvl>
    <w:lvl w:ilvl="1" w:tplc="26002FAC">
      <w:start w:val="47"/>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nstanti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nstanti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AC135A"/>
    <w:multiLevelType w:val="hybridMultilevel"/>
    <w:tmpl w:val="247871FC"/>
    <w:lvl w:ilvl="0" w:tplc="00010407">
      <w:start w:val="1"/>
      <w:numFmt w:val="bullet"/>
      <w:lvlText w:val=""/>
      <w:lvlJc w:val="left"/>
      <w:pPr>
        <w:tabs>
          <w:tab w:val="num" w:pos="600"/>
        </w:tabs>
        <w:ind w:left="600" w:hanging="360"/>
      </w:pPr>
      <w:rPr>
        <w:rFonts w:ascii="Symbol" w:hAnsi="Symbol" w:hint="default"/>
      </w:rPr>
    </w:lvl>
    <w:lvl w:ilvl="1" w:tplc="00030407" w:tentative="1">
      <w:start w:val="1"/>
      <w:numFmt w:val="bullet"/>
      <w:lvlText w:val="o"/>
      <w:lvlJc w:val="left"/>
      <w:pPr>
        <w:tabs>
          <w:tab w:val="num" w:pos="1320"/>
        </w:tabs>
        <w:ind w:left="1320" w:hanging="360"/>
      </w:pPr>
      <w:rPr>
        <w:rFonts w:ascii="Courier New" w:hAnsi="Courier New" w:hint="default"/>
      </w:rPr>
    </w:lvl>
    <w:lvl w:ilvl="2" w:tplc="00050407" w:tentative="1">
      <w:start w:val="1"/>
      <w:numFmt w:val="bullet"/>
      <w:lvlText w:val=""/>
      <w:lvlJc w:val="left"/>
      <w:pPr>
        <w:tabs>
          <w:tab w:val="num" w:pos="2040"/>
        </w:tabs>
        <w:ind w:left="2040" w:hanging="360"/>
      </w:pPr>
      <w:rPr>
        <w:rFonts w:ascii="Wingdings" w:hAnsi="Wingdings" w:hint="default"/>
      </w:rPr>
    </w:lvl>
    <w:lvl w:ilvl="3" w:tplc="00010407" w:tentative="1">
      <w:start w:val="1"/>
      <w:numFmt w:val="bullet"/>
      <w:lvlText w:val=""/>
      <w:lvlJc w:val="left"/>
      <w:pPr>
        <w:tabs>
          <w:tab w:val="num" w:pos="2760"/>
        </w:tabs>
        <w:ind w:left="2760" w:hanging="360"/>
      </w:pPr>
      <w:rPr>
        <w:rFonts w:ascii="Symbol" w:hAnsi="Symbol" w:hint="default"/>
      </w:rPr>
    </w:lvl>
    <w:lvl w:ilvl="4" w:tplc="00030407" w:tentative="1">
      <w:start w:val="1"/>
      <w:numFmt w:val="bullet"/>
      <w:lvlText w:val="o"/>
      <w:lvlJc w:val="left"/>
      <w:pPr>
        <w:tabs>
          <w:tab w:val="num" w:pos="3480"/>
        </w:tabs>
        <w:ind w:left="3480" w:hanging="360"/>
      </w:pPr>
      <w:rPr>
        <w:rFonts w:ascii="Courier New" w:hAnsi="Courier New" w:hint="default"/>
      </w:rPr>
    </w:lvl>
    <w:lvl w:ilvl="5" w:tplc="00050407" w:tentative="1">
      <w:start w:val="1"/>
      <w:numFmt w:val="bullet"/>
      <w:lvlText w:val=""/>
      <w:lvlJc w:val="left"/>
      <w:pPr>
        <w:tabs>
          <w:tab w:val="num" w:pos="4200"/>
        </w:tabs>
        <w:ind w:left="4200" w:hanging="360"/>
      </w:pPr>
      <w:rPr>
        <w:rFonts w:ascii="Wingdings" w:hAnsi="Wingdings" w:hint="default"/>
      </w:rPr>
    </w:lvl>
    <w:lvl w:ilvl="6" w:tplc="00010407" w:tentative="1">
      <w:start w:val="1"/>
      <w:numFmt w:val="bullet"/>
      <w:lvlText w:val=""/>
      <w:lvlJc w:val="left"/>
      <w:pPr>
        <w:tabs>
          <w:tab w:val="num" w:pos="4920"/>
        </w:tabs>
        <w:ind w:left="4920" w:hanging="360"/>
      </w:pPr>
      <w:rPr>
        <w:rFonts w:ascii="Symbol" w:hAnsi="Symbol" w:hint="default"/>
      </w:rPr>
    </w:lvl>
    <w:lvl w:ilvl="7" w:tplc="00030407" w:tentative="1">
      <w:start w:val="1"/>
      <w:numFmt w:val="bullet"/>
      <w:lvlText w:val="o"/>
      <w:lvlJc w:val="left"/>
      <w:pPr>
        <w:tabs>
          <w:tab w:val="num" w:pos="5640"/>
        </w:tabs>
        <w:ind w:left="5640" w:hanging="360"/>
      </w:pPr>
      <w:rPr>
        <w:rFonts w:ascii="Courier New" w:hAnsi="Courier New" w:hint="default"/>
      </w:rPr>
    </w:lvl>
    <w:lvl w:ilvl="8" w:tplc="00050407" w:tentative="1">
      <w:start w:val="1"/>
      <w:numFmt w:val="bullet"/>
      <w:lvlText w:val=""/>
      <w:lvlJc w:val="left"/>
      <w:pPr>
        <w:tabs>
          <w:tab w:val="num" w:pos="6360"/>
        </w:tabs>
        <w:ind w:left="6360" w:hanging="360"/>
      </w:pPr>
      <w:rPr>
        <w:rFonts w:ascii="Wingdings" w:hAnsi="Wingdings" w:hint="default"/>
      </w:rPr>
    </w:lvl>
  </w:abstractNum>
  <w:abstractNum w:abstractNumId="17" w15:restartNumberingAfterBreak="0">
    <w:nsid w:val="6DB46620"/>
    <w:multiLevelType w:val="hybridMultilevel"/>
    <w:tmpl w:val="30D610E4"/>
    <w:lvl w:ilvl="0" w:tplc="9850D3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5"/>
  </w:num>
  <w:num w:numId="3">
    <w:abstractNumId w:val="1"/>
  </w:num>
  <w:num w:numId="4">
    <w:abstractNumId w:val="7"/>
  </w:num>
  <w:num w:numId="5">
    <w:abstractNumId w:val="12"/>
  </w:num>
  <w:num w:numId="6">
    <w:abstractNumId w:val="4"/>
  </w:num>
  <w:num w:numId="7">
    <w:abstractNumId w:val="5"/>
  </w:num>
  <w:num w:numId="8">
    <w:abstractNumId w:val="16"/>
  </w:num>
  <w:num w:numId="9">
    <w:abstractNumId w:val="6"/>
  </w:num>
  <w:num w:numId="10">
    <w:abstractNumId w:val="14"/>
  </w:num>
  <w:num w:numId="11">
    <w:abstractNumId w:val="10"/>
  </w:num>
  <w:num w:numId="12">
    <w:abstractNumId w:val="2"/>
  </w:num>
  <w:num w:numId="13">
    <w:abstractNumId w:val="3"/>
  </w:num>
  <w:num w:numId="14">
    <w:abstractNumId w:val="8"/>
  </w:num>
  <w:num w:numId="15">
    <w:abstractNumId w:val="11"/>
  </w:num>
  <w:num w:numId="16">
    <w:abstractNumId w:val="13"/>
  </w:num>
  <w:num w:numId="17">
    <w:abstractNumId w:val="9"/>
  </w:num>
  <w:num w:numId="18">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nl-NL"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51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FD9"/>
    <w:rsid w:val="00010840"/>
    <w:rsid w:val="00012100"/>
    <w:rsid w:val="0001504D"/>
    <w:rsid w:val="00015E9C"/>
    <w:rsid w:val="000243FD"/>
    <w:rsid w:val="00033C07"/>
    <w:rsid w:val="00050493"/>
    <w:rsid w:val="00050F6B"/>
    <w:rsid w:val="00072C8C"/>
    <w:rsid w:val="00074C18"/>
    <w:rsid w:val="00080E97"/>
    <w:rsid w:val="00087E92"/>
    <w:rsid w:val="00091419"/>
    <w:rsid w:val="000931C0"/>
    <w:rsid w:val="000A058D"/>
    <w:rsid w:val="000A22FB"/>
    <w:rsid w:val="000A57C0"/>
    <w:rsid w:val="000B175B"/>
    <w:rsid w:val="000B229C"/>
    <w:rsid w:val="000B3A0F"/>
    <w:rsid w:val="000B4595"/>
    <w:rsid w:val="000B45CA"/>
    <w:rsid w:val="000B5E65"/>
    <w:rsid w:val="000C11CF"/>
    <w:rsid w:val="000C5221"/>
    <w:rsid w:val="000D46E3"/>
    <w:rsid w:val="000D4D30"/>
    <w:rsid w:val="000E0415"/>
    <w:rsid w:val="000E2D2C"/>
    <w:rsid w:val="000E65AF"/>
    <w:rsid w:val="000F5CF4"/>
    <w:rsid w:val="001060E3"/>
    <w:rsid w:val="001102D6"/>
    <w:rsid w:val="0011353C"/>
    <w:rsid w:val="00121BB6"/>
    <w:rsid w:val="00121DEE"/>
    <w:rsid w:val="00122CBC"/>
    <w:rsid w:val="00127003"/>
    <w:rsid w:val="00134C91"/>
    <w:rsid w:val="001421EC"/>
    <w:rsid w:val="001468EB"/>
    <w:rsid w:val="00146CD1"/>
    <w:rsid w:val="00147A9C"/>
    <w:rsid w:val="00152850"/>
    <w:rsid w:val="00160941"/>
    <w:rsid w:val="0016273E"/>
    <w:rsid w:val="00162BCF"/>
    <w:rsid w:val="00162CE5"/>
    <w:rsid w:val="001678B4"/>
    <w:rsid w:val="00172EF0"/>
    <w:rsid w:val="00174E0B"/>
    <w:rsid w:val="00181058"/>
    <w:rsid w:val="00190633"/>
    <w:rsid w:val="0019107B"/>
    <w:rsid w:val="001B4B04"/>
    <w:rsid w:val="001C6663"/>
    <w:rsid w:val="001C7895"/>
    <w:rsid w:val="001C7DD1"/>
    <w:rsid w:val="001D26DF"/>
    <w:rsid w:val="001D2FDC"/>
    <w:rsid w:val="001D3E1D"/>
    <w:rsid w:val="001D6984"/>
    <w:rsid w:val="001E04A0"/>
    <w:rsid w:val="001E10FA"/>
    <w:rsid w:val="001E3807"/>
    <w:rsid w:val="001F5123"/>
    <w:rsid w:val="001F6BD6"/>
    <w:rsid w:val="001F6E2D"/>
    <w:rsid w:val="00211E0B"/>
    <w:rsid w:val="00213A19"/>
    <w:rsid w:val="00216CFF"/>
    <w:rsid w:val="00220F89"/>
    <w:rsid w:val="002251DA"/>
    <w:rsid w:val="00226EA4"/>
    <w:rsid w:val="0022702A"/>
    <w:rsid w:val="00231018"/>
    <w:rsid w:val="00232856"/>
    <w:rsid w:val="00237785"/>
    <w:rsid w:val="00241466"/>
    <w:rsid w:val="00241B48"/>
    <w:rsid w:val="0024775D"/>
    <w:rsid w:val="002530D9"/>
    <w:rsid w:val="00256405"/>
    <w:rsid w:val="00262A20"/>
    <w:rsid w:val="00271241"/>
    <w:rsid w:val="002746AA"/>
    <w:rsid w:val="002777E3"/>
    <w:rsid w:val="002810E1"/>
    <w:rsid w:val="00285844"/>
    <w:rsid w:val="00290424"/>
    <w:rsid w:val="002A21AA"/>
    <w:rsid w:val="002A3D95"/>
    <w:rsid w:val="002A7B16"/>
    <w:rsid w:val="002B2D61"/>
    <w:rsid w:val="002B65A1"/>
    <w:rsid w:val="002B7786"/>
    <w:rsid w:val="002C429F"/>
    <w:rsid w:val="002C5398"/>
    <w:rsid w:val="002D4473"/>
    <w:rsid w:val="002D6071"/>
    <w:rsid w:val="002E4CAF"/>
    <w:rsid w:val="002E5D98"/>
    <w:rsid w:val="002F2210"/>
    <w:rsid w:val="002F25D2"/>
    <w:rsid w:val="002F390A"/>
    <w:rsid w:val="002F4588"/>
    <w:rsid w:val="002F4BBD"/>
    <w:rsid w:val="00306BCA"/>
    <w:rsid w:val="003107FA"/>
    <w:rsid w:val="0031514A"/>
    <w:rsid w:val="003229D8"/>
    <w:rsid w:val="00325106"/>
    <w:rsid w:val="0033142D"/>
    <w:rsid w:val="00334678"/>
    <w:rsid w:val="00336125"/>
    <w:rsid w:val="003407DC"/>
    <w:rsid w:val="00341E18"/>
    <w:rsid w:val="00343D6A"/>
    <w:rsid w:val="00346C62"/>
    <w:rsid w:val="00355C90"/>
    <w:rsid w:val="003729E2"/>
    <w:rsid w:val="003730FD"/>
    <w:rsid w:val="00384492"/>
    <w:rsid w:val="0039277A"/>
    <w:rsid w:val="0039612B"/>
    <w:rsid w:val="003972E0"/>
    <w:rsid w:val="00397B0F"/>
    <w:rsid w:val="003A33F1"/>
    <w:rsid w:val="003A5D2F"/>
    <w:rsid w:val="003A6FE4"/>
    <w:rsid w:val="003C1C85"/>
    <w:rsid w:val="003C2CC4"/>
    <w:rsid w:val="003C62E3"/>
    <w:rsid w:val="003D170E"/>
    <w:rsid w:val="003D19E0"/>
    <w:rsid w:val="003D1FE8"/>
    <w:rsid w:val="003D4B23"/>
    <w:rsid w:val="003D4C1B"/>
    <w:rsid w:val="003D69CE"/>
    <w:rsid w:val="003E226E"/>
    <w:rsid w:val="003E2724"/>
    <w:rsid w:val="003E4A38"/>
    <w:rsid w:val="003F11A1"/>
    <w:rsid w:val="003F7317"/>
    <w:rsid w:val="003F7BB7"/>
    <w:rsid w:val="00410691"/>
    <w:rsid w:val="00410FC8"/>
    <w:rsid w:val="00412233"/>
    <w:rsid w:val="00415EE6"/>
    <w:rsid w:val="00417398"/>
    <w:rsid w:val="004325CB"/>
    <w:rsid w:val="00446DE4"/>
    <w:rsid w:val="00466EE1"/>
    <w:rsid w:val="00473505"/>
    <w:rsid w:val="00473FF8"/>
    <w:rsid w:val="004846EE"/>
    <w:rsid w:val="00491303"/>
    <w:rsid w:val="004915F5"/>
    <w:rsid w:val="00493EE9"/>
    <w:rsid w:val="00494C43"/>
    <w:rsid w:val="004A3627"/>
    <w:rsid w:val="004A4521"/>
    <w:rsid w:val="004B0F11"/>
    <w:rsid w:val="004C2B7E"/>
    <w:rsid w:val="004C57BB"/>
    <w:rsid w:val="004C6F49"/>
    <w:rsid w:val="004C6F58"/>
    <w:rsid w:val="004D3975"/>
    <w:rsid w:val="004F6BAE"/>
    <w:rsid w:val="0050443A"/>
    <w:rsid w:val="00507651"/>
    <w:rsid w:val="00511F60"/>
    <w:rsid w:val="00516C00"/>
    <w:rsid w:val="0052172B"/>
    <w:rsid w:val="0052504A"/>
    <w:rsid w:val="00533821"/>
    <w:rsid w:val="00535E10"/>
    <w:rsid w:val="0053713A"/>
    <w:rsid w:val="00540C2F"/>
    <w:rsid w:val="005420F2"/>
    <w:rsid w:val="005470C9"/>
    <w:rsid w:val="005521FF"/>
    <w:rsid w:val="00560F8B"/>
    <w:rsid w:val="00571F95"/>
    <w:rsid w:val="00576A9D"/>
    <w:rsid w:val="00585664"/>
    <w:rsid w:val="00593EDB"/>
    <w:rsid w:val="0059467E"/>
    <w:rsid w:val="005959CA"/>
    <w:rsid w:val="00596018"/>
    <w:rsid w:val="00597864"/>
    <w:rsid w:val="005A0FD9"/>
    <w:rsid w:val="005A1512"/>
    <w:rsid w:val="005A274D"/>
    <w:rsid w:val="005B064F"/>
    <w:rsid w:val="005B2973"/>
    <w:rsid w:val="005B3DB3"/>
    <w:rsid w:val="005B7089"/>
    <w:rsid w:val="005C0081"/>
    <w:rsid w:val="005C13A8"/>
    <w:rsid w:val="005C50EF"/>
    <w:rsid w:val="005C549A"/>
    <w:rsid w:val="005C57A0"/>
    <w:rsid w:val="005D05EA"/>
    <w:rsid w:val="005D3F03"/>
    <w:rsid w:val="005E0C0A"/>
    <w:rsid w:val="005E15A5"/>
    <w:rsid w:val="005F32E4"/>
    <w:rsid w:val="005F3DB5"/>
    <w:rsid w:val="005F7B54"/>
    <w:rsid w:val="006018E7"/>
    <w:rsid w:val="00611FC4"/>
    <w:rsid w:val="00613863"/>
    <w:rsid w:val="006176FB"/>
    <w:rsid w:val="0062454F"/>
    <w:rsid w:val="00640B26"/>
    <w:rsid w:val="006541A7"/>
    <w:rsid w:val="00662563"/>
    <w:rsid w:val="00666605"/>
    <w:rsid w:val="00671F4F"/>
    <w:rsid w:val="00673AFB"/>
    <w:rsid w:val="00677583"/>
    <w:rsid w:val="0068194F"/>
    <w:rsid w:val="00682D97"/>
    <w:rsid w:val="00690112"/>
    <w:rsid w:val="00691E14"/>
    <w:rsid w:val="006A7392"/>
    <w:rsid w:val="006B2D03"/>
    <w:rsid w:val="006C0D34"/>
    <w:rsid w:val="006C680F"/>
    <w:rsid w:val="006D191E"/>
    <w:rsid w:val="006D422E"/>
    <w:rsid w:val="006D7C06"/>
    <w:rsid w:val="006E365B"/>
    <w:rsid w:val="006E564B"/>
    <w:rsid w:val="007033D2"/>
    <w:rsid w:val="007065FD"/>
    <w:rsid w:val="00723CA7"/>
    <w:rsid w:val="0072632A"/>
    <w:rsid w:val="00734C90"/>
    <w:rsid w:val="0076508D"/>
    <w:rsid w:val="007701D5"/>
    <w:rsid w:val="00790E91"/>
    <w:rsid w:val="00791848"/>
    <w:rsid w:val="00795C92"/>
    <w:rsid w:val="007A34F1"/>
    <w:rsid w:val="007B1F5E"/>
    <w:rsid w:val="007B6BA5"/>
    <w:rsid w:val="007C3390"/>
    <w:rsid w:val="007C4F4B"/>
    <w:rsid w:val="007C7720"/>
    <w:rsid w:val="007D45B2"/>
    <w:rsid w:val="007D5892"/>
    <w:rsid w:val="007E4BFB"/>
    <w:rsid w:val="007F3143"/>
    <w:rsid w:val="007F6611"/>
    <w:rsid w:val="007F75EE"/>
    <w:rsid w:val="007F777E"/>
    <w:rsid w:val="00800C5F"/>
    <w:rsid w:val="00803A43"/>
    <w:rsid w:val="0081012F"/>
    <w:rsid w:val="00815A1B"/>
    <w:rsid w:val="008175E9"/>
    <w:rsid w:val="008242D7"/>
    <w:rsid w:val="00826658"/>
    <w:rsid w:val="008378CD"/>
    <w:rsid w:val="0085626F"/>
    <w:rsid w:val="00871FD5"/>
    <w:rsid w:val="00881EE7"/>
    <w:rsid w:val="008979B1"/>
    <w:rsid w:val="008A442C"/>
    <w:rsid w:val="008A6B25"/>
    <w:rsid w:val="008A6C4F"/>
    <w:rsid w:val="008B7229"/>
    <w:rsid w:val="008C345E"/>
    <w:rsid w:val="008C5CBE"/>
    <w:rsid w:val="008E0B8F"/>
    <w:rsid w:val="008E0E46"/>
    <w:rsid w:val="008E2C9A"/>
    <w:rsid w:val="008E334C"/>
    <w:rsid w:val="008F084C"/>
    <w:rsid w:val="008F6E37"/>
    <w:rsid w:val="00907CC9"/>
    <w:rsid w:val="00910449"/>
    <w:rsid w:val="009113E8"/>
    <w:rsid w:val="00912EED"/>
    <w:rsid w:val="0091392E"/>
    <w:rsid w:val="009216E0"/>
    <w:rsid w:val="00922AE2"/>
    <w:rsid w:val="00924FF2"/>
    <w:rsid w:val="00932787"/>
    <w:rsid w:val="00933613"/>
    <w:rsid w:val="00933FB9"/>
    <w:rsid w:val="00934CB1"/>
    <w:rsid w:val="00942BE3"/>
    <w:rsid w:val="009533D2"/>
    <w:rsid w:val="00960A18"/>
    <w:rsid w:val="00963CBA"/>
    <w:rsid w:val="009731EB"/>
    <w:rsid w:val="009737E7"/>
    <w:rsid w:val="0097391D"/>
    <w:rsid w:val="009901E4"/>
    <w:rsid w:val="0099098D"/>
    <w:rsid w:val="00991261"/>
    <w:rsid w:val="0099442D"/>
    <w:rsid w:val="00997604"/>
    <w:rsid w:val="009A728C"/>
    <w:rsid w:val="009B0D64"/>
    <w:rsid w:val="009D3C5F"/>
    <w:rsid w:val="009D6111"/>
    <w:rsid w:val="009E54C6"/>
    <w:rsid w:val="009E67AD"/>
    <w:rsid w:val="009F1F9A"/>
    <w:rsid w:val="009F3E16"/>
    <w:rsid w:val="009F583B"/>
    <w:rsid w:val="00A1427D"/>
    <w:rsid w:val="00A16536"/>
    <w:rsid w:val="00A44935"/>
    <w:rsid w:val="00A63399"/>
    <w:rsid w:val="00A64B3B"/>
    <w:rsid w:val="00A66332"/>
    <w:rsid w:val="00A66D7B"/>
    <w:rsid w:val="00A7129A"/>
    <w:rsid w:val="00A72F22"/>
    <w:rsid w:val="00A748A6"/>
    <w:rsid w:val="00A74CCC"/>
    <w:rsid w:val="00A879A4"/>
    <w:rsid w:val="00AA0116"/>
    <w:rsid w:val="00AA01AC"/>
    <w:rsid w:val="00AA20EC"/>
    <w:rsid w:val="00AB775B"/>
    <w:rsid w:val="00AC15BB"/>
    <w:rsid w:val="00AC741A"/>
    <w:rsid w:val="00AC7495"/>
    <w:rsid w:val="00AD08FE"/>
    <w:rsid w:val="00AE539D"/>
    <w:rsid w:val="00AF35E5"/>
    <w:rsid w:val="00AF4B08"/>
    <w:rsid w:val="00B04A8A"/>
    <w:rsid w:val="00B1218D"/>
    <w:rsid w:val="00B135B3"/>
    <w:rsid w:val="00B14BE0"/>
    <w:rsid w:val="00B30179"/>
    <w:rsid w:val="00B31522"/>
    <w:rsid w:val="00B31D78"/>
    <w:rsid w:val="00B3317B"/>
    <w:rsid w:val="00B43FF0"/>
    <w:rsid w:val="00B45817"/>
    <w:rsid w:val="00B61619"/>
    <w:rsid w:val="00B73C21"/>
    <w:rsid w:val="00B75D73"/>
    <w:rsid w:val="00B778AC"/>
    <w:rsid w:val="00B80DB1"/>
    <w:rsid w:val="00B81C51"/>
    <w:rsid w:val="00B81E12"/>
    <w:rsid w:val="00B93068"/>
    <w:rsid w:val="00BA02EF"/>
    <w:rsid w:val="00BA155F"/>
    <w:rsid w:val="00BA221D"/>
    <w:rsid w:val="00BC74E9"/>
    <w:rsid w:val="00BD3994"/>
    <w:rsid w:val="00BD6248"/>
    <w:rsid w:val="00BE26CA"/>
    <w:rsid w:val="00BE5E61"/>
    <w:rsid w:val="00BE618E"/>
    <w:rsid w:val="00BF41AA"/>
    <w:rsid w:val="00BF7CE9"/>
    <w:rsid w:val="00C01E72"/>
    <w:rsid w:val="00C037AC"/>
    <w:rsid w:val="00C0689E"/>
    <w:rsid w:val="00C07D89"/>
    <w:rsid w:val="00C171B2"/>
    <w:rsid w:val="00C35204"/>
    <w:rsid w:val="00C37035"/>
    <w:rsid w:val="00C463DD"/>
    <w:rsid w:val="00C47A21"/>
    <w:rsid w:val="00C63C94"/>
    <w:rsid w:val="00C745C3"/>
    <w:rsid w:val="00C7609E"/>
    <w:rsid w:val="00C978CA"/>
    <w:rsid w:val="00CA3811"/>
    <w:rsid w:val="00CB0CF1"/>
    <w:rsid w:val="00CB68AA"/>
    <w:rsid w:val="00CD0DBF"/>
    <w:rsid w:val="00CD4781"/>
    <w:rsid w:val="00CD5A0B"/>
    <w:rsid w:val="00CE4A8F"/>
    <w:rsid w:val="00CE60A5"/>
    <w:rsid w:val="00CE7942"/>
    <w:rsid w:val="00CF32E6"/>
    <w:rsid w:val="00CF4364"/>
    <w:rsid w:val="00CF7533"/>
    <w:rsid w:val="00D2031B"/>
    <w:rsid w:val="00D232A9"/>
    <w:rsid w:val="00D25FE2"/>
    <w:rsid w:val="00D34E63"/>
    <w:rsid w:val="00D3506B"/>
    <w:rsid w:val="00D355A6"/>
    <w:rsid w:val="00D43252"/>
    <w:rsid w:val="00D45597"/>
    <w:rsid w:val="00D579C0"/>
    <w:rsid w:val="00D60C6E"/>
    <w:rsid w:val="00D61DB6"/>
    <w:rsid w:val="00D70F0A"/>
    <w:rsid w:val="00D81CEB"/>
    <w:rsid w:val="00D978C6"/>
    <w:rsid w:val="00DA2B8C"/>
    <w:rsid w:val="00DA67AD"/>
    <w:rsid w:val="00DB3A02"/>
    <w:rsid w:val="00DB4082"/>
    <w:rsid w:val="00DB4442"/>
    <w:rsid w:val="00DC368B"/>
    <w:rsid w:val="00DC72C9"/>
    <w:rsid w:val="00DE7FC6"/>
    <w:rsid w:val="00DF2A06"/>
    <w:rsid w:val="00E03CFF"/>
    <w:rsid w:val="00E130AB"/>
    <w:rsid w:val="00E26D51"/>
    <w:rsid w:val="00E32A99"/>
    <w:rsid w:val="00E337A9"/>
    <w:rsid w:val="00E42D3A"/>
    <w:rsid w:val="00E42DFE"/>
    <w:rsid w:val="00E44A10"/>
    <w:rsid w:val="00E46006"/>
    <w:rsid w:val="00E50FA6"/>
    <w:rsid w:val="00E52B3D"/>
    <w:rsid w:val="00E551E3"/>
    <w:rsid w:val="00E5644E"/>
    <w:rsid w:val="00E61DDE"/>
    <w:rsid w:val="00E656A7"/>
    <w:rsid w:val="00E7260F"/>
    <w:rsid w:val="00E800E7"/>
    <w:rsid w:val="00E82FFD"/>
    <w:rsid w:val="00E84185"/>
    <w:rsid w:val="00E862CE"/>
    <w:rsid w:val="00E92031"/>
    <w:rsid w:val="00E9393B"/>
    <w:rsid w:val="00E96630"/>
    <w:rsid w:val="00EA310B"/>
    <w:rsid w:val="00EA3502"/>
    <w:rsid w:val="00EA3503"/>
    <w:rsid w:val="00EC723C"/>
    <w:rsid w:val="00ED71E2"/>
    <w:rsid w:val="00ED7A2A"/>
    <w:rsid w:val="00EE0F57"/>
    <w:rsid w:val="00EF1D7F"/>
    <w:rsid w:val="00EF490E"/>
    <w:rsid w:val="00EF5F00"/>
    <w:rsid w:val="00F02DC1"/>
    <w:rsid w:val="00F02EAF"/>
    <w:rsid w:val="00F04BBB"/>
    <w:rsid w:val="00F22A4A"/>
    <w:rsid w:val="00F2450A"/>
    <w:rsid w:val="00F27ABD"/>
    <w:rsid w:val="00F40E75"/>
    <w:rsid w:val="00F4708C"/>
    <w:rsid w:val="00F50D83"/>
    <w:rsid w:val="00F604A8"/>
    <w:rsid w:val="00F85234"/>
    <w:rsid w:val="00F9412E"/>
    <w:rsid w:val="00F960C7"/>
    <w:rsid w:val="00F974F3"/>
    <w:rsid w:val="00F97C32"/>
    <w:rsid w:val="00FA0C15"/>
    <w:rsid w:val="00FB349E"/>
    <w:rsid w:val="00FC34A3"/>
    <w:rsid w:val="00FC68B7"/>
    <w:rsid w:val="00FD5B18"/>
    <w:rsid w:val="00FD6AB4"/>
    <w:rsid w:val="00FF4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765270C"/>
  <w15:chartTrackingRefBased/>
  <w15:docId w15:val="{B1C77EC8-5A41-433E-ADD3-C157DAF9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5D73"/>
    <w:pPr>
      <w:suppressAutoHyphens/>
      <w:spacing w:line="240" w:lineRule="atLeast"/>
    </w:pPr>
  </w:style>
  <w:style w:type="paragraph" w:styleId="Heading1">
    <w:name w:val="heading 1"/>
    <w:aliases w:val="Table_G"/>
    <w:basedOn w:val="SingleTxtG"/>
    <w:next w:val="SingleTxtG"/>
    <w:qFormat/>
    <w:rsid w:val="00B75D73"/>
    <w:pPr>
      <w:spacing w:after="0" w:line="240" w:lineRule="auto"/>
      <w:ind w:right="0"/>
      <w:jc w:val="left"/>
      <w:outlineLvl w:val="0"/>
    </w:pPr>
  </w:style>
  <w:style w:type="paragraph" w:styleId="Heading2">
    <w:name w:val="heading 2"/>
    <w:basedOn w:val="Normal"/>
    <w:next w:val="Normal"/>
    <w:qFormat/>
    <w:rsid w:val="00B75D73"/>
    <w:pPr>
      <w:spacing w:line="240" w:lineRule="auto"/>
      <w:outlineLvl w:val="1"/>
    </w:pPr>
  </w:style>
  <w:style w:type="paragraph" w:styleId="Heading3">
    <w:name w:val="heading 3"/>
    <w:basedOn w:val="Normal"/>
    <w:next w:val="Normal"/>
    <w:qFormat/>
    <w:rsid w:val="00B75D73"/>
    <w:pPr>
      <w:spacing w:line="240" w:lineRule="auto"/>
      <w:outlineLvl w:val="2"/>
    </w:pPr>
  </w:style>
  <w:style w:type="paragraph" w:styleId="Heading4">
    <w:name w:val="heading 4"/>
    <w:basedOn w:val="Normal"/>
    <w:next w:val="Normal"/>
    <w:qFormat/>
    <w:rsid w:val="00B75D73"/>
    <w:pPr>
      <w:spacing w:line="240" w:lineRule="auto"/>
      <w:outlineLvl w:val="3"/>
    </w:pPr>
  </w:style>
  <w:style w:type="paragraph" w:styleId="Heading5">
    <w:name w:val="heading 5"/>
    <w:basedOn w:val="Normal"/>
    <w:next w:val="Normal"/>
    <w:qFormat/>
    <w:rsid w:val="00B75D73"/>
    <w:pPr>
      <w:spacing w:line="240" w:lineRule="auto"/>
      <w:outlineLvl w:val="4"/>
    </w:pPr>
  </w:style>
  <w:style w:type="paragraph" w:styleId="Heading6">
    <w:name w:val="heading 6"/>
    <w:basedOn w:val="Normal"/>
    <w:next w:val="Normal"/>
    <w:qFormat/>
    <w:rsid w:val="00B75D73"/>
    <w:pPr>
      <w:spacing w:line="240" w:lineRule="auto"/>
      <w:outlineLvl w:val="5"/>
    </w:pPr>
  </w:style>
  <w:style w:type="paragraph" w:styleId="Heading7">
    <w:name w:val="heading 7"/>
    <w:basedOn w:val="Normal"/>
    <w:next w:val="Normal"/>
    <w:qFormat/>
    <w:rsid w:val="00B75D73"/>
    <w:pPr>
      <w:spacing w:line="240" w:lineRule="auto"/>
      <w:outlineLvl w:val="6"/>
    </w:pPr>
  </w:style>
  <w:style w:type="paragraph" w:styleId="Heading8">
    <w:name w:val="heading 8"/>
    <w:basedOn w:val="Normal"/>
    <w:next w:val="Normal"/>
    <w:qFormat/>
    <w:rsid w:val="00B75D73"/>
    <w:pPr>
      <w:spacing w:line="240" w:lineRule="auto"/>
      <w:outlineLvl w:val="7"/>
    </w:pPr>
  </w:style>
  <w:style w:type="paragraph" w:styleId="Heading9">
    <w:name w:val="heading 9"/>
    <w:basedOn w:val="Normal"/>
    <w:next w:val="Normal"/>
    <w:qFormat/>
    <w:rsid w:val="00B75D73"/>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B75D73"/>
    <w:pPr>
      <w:spacing w:after="120"/>
      <w:ind w:left="1134" w:right="1134"/>
      <w:jc w:val="both"/>
    </w:pPr>
  </w:style>
  <w:style w:type="paragraph" w:customStyle="1" w:styleId="HMG">
    <w:name w:val="_ H __M_G"/>
    <w:basedOn w:val="Normal"/>
    <w:next w:val="Normal"/>
    <w:rsid w:val="00B75D73"/>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B75D73"/>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rsid w:val="00B75D73"/>
    <w:rPr>
      <w:rFonts w:ascii="Times New Roman" w:hAnsi="Times New Roman"/>
      <w:sz w:val="18"/>
      <w:vertAlign w:val="superscript"/>
    </w:rPr>
  </w:style>
  <w:style w:type="character" w:styleId="EndnoteReference">
    <w:name w:val="endnote reference"/>
    <w:aliases w:val="1_G"/>
    <w:basedOn w:val="FootnoteReference"/>
    <w:rsid w:val="00B75D73"/>
    <w:rPr>
      <w:rFonts w:ascii="Times New Roman" w:hAnsi="Times New Roman"/>
      <w:sz w:val="18"/>
      <w:vertAlign w:val="superscript"/>
    </w:rPr>
  </w:style>
  <w:style w:type="paragraph" w:styleId="Header">
    <w:name w:val="header"/>
    <w:aliases w:val="6_G"/>
    <w:basedOn w:val="Normal"/>
    <w:rsid w:val="00B75D73"/>
    <w:pPr>
      <w:pBdr>
        <w:bottom w:val="single" w:sz="4" w:space="4" w:color="auto"/>
      </w:pBdr>
      <w:spacing w:line="240" w:lineRule="auto"/>
    </w:pPr>
    <w:rPr>
      <w:b/>
      <w:sz w:val="18"/>
    </w:rPr>
  </w:style>
  <w:style w:type="table" w:styleId="TableGrid">
    <w:name w:val="Table Grid"/>
    <w:basedOn w:val="TableNormal"/>
    <w:semiHidden/>
    <w:rsid w:val="00B75D73"/>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B75D73"/>
    <w:rPr>
      <w:color w:val="auto"/>
      <w:u w:val="none"/>
    </w:rPr>
  </w:style>
  <w:style w:type="character" w:styleId="FollowedHyperlink">
    <w:name w:val="FollowedHyperlink"/>
    <w:basedOn w:val="DefaultParagraphFont"/>
    <w:semiHidden/>
    <w:rsid w:val="00B75D73"/>
    <w:rPr>
      <w:color w:val="auto"/>
      <w:u w:val="none"/>
    </w:rPr>
  </w:style>
  <w:style w:type="paragraph" w:customStyle="1" w:styleId="SMG">
    <w:name w:val="__S_M_G"/>
    <w:basedOn w:val="Normal"/>
    <w:next w:val="Normal"/>
    <w:rsid w:val="00B75D73"/>
    <w:pPr>
      <w:keepNext/>
      <w:keepLines/>
      <w:spacing w:before="240" w:after="240" w:line="420" w:lineRule="exact"/>
      <w:ind w:left="1134" w:right="1134"/>
    </w:pPr>
    <w:rPr>
      <w:b/>
      <w:sz w:val="40"/>
    </w:rPr>
  </w:style>
  <w:style w:type="paragraph" w:customStyle="1" w:styleId="SLG">
    <w:name w:val="__S_L_G"/>
    <w:basedOn w:val="Normal"/>
    <w:next w:val="Normal"/>
    <w:rsid w:val="00B75D73"/>
    <w:pPr>
      <w:keepNext/>
      <w:keepLines/>
      <w:spacing w:before="240" w:after="240" w:line="580" w:lineRule="exact"/>
      <w:ind w:left="1134" w:right="1134"/>
    </w:pPr>
    <w:rPr>
      <w:b/>
      <w:sz w:val="56"/>
    </w:rPr>
  </w:style>
  <w:style w:type="paragraph" w:customStyle="1" w:styleId="SSG">
    <w:name w:val="__S_S_G"/>
    <w:basedOn w:val="Normal"/>
    <w:next w:val="Normal"/>
    <w:rsid w:val="00B75D73"/>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B75D73"/>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semiHidden/>
    <w:rsid w:val="005A0FD9"/>
    <w:rPr>
      <w:sz w:val="18"/>
      <w:lang w:val="nl-NL" w:eastAsia="en-US" w:bidi="ar-SA"/>
    </w:rPr>
  </w:style>
  <w:style w:type="paragraph" w:styleId="EndnoteText">
    <w:name w:val="endnote text"/>
    <w:aliases w:val="2_G"/>
    <w:basedOn w:val="FootnoteText"/>
    <w:rsid w:val="00B75D73"/>
  </w:style>
  <w:style w:type="character" w:styleId="PageNumber">
    <w:name w:val="page number"/>
    <w:aliases w:val="7_G"/>
    <w:basedOn w:val="DefaultParagraphFont"/>
    <w:rsid w:val="00B75D73"/>
    <w:rPr>
      <w:rFonts w:ascii="Times New Roman" w:hAnsi="Times New Roman"/>
      <w:b/>
      <w:sz w:val="18"/>
    </w:rPr>
  </w:style>
  <w:style w:type="paragraph" w:customStyle="1" w:styleId="XLargeG">
    <w:name w:val="__XLarge_G"/>
    <w:basedOn w:val="Normal"/>
    <w:next w:val="Normal"/>
    <w:rsid w:val="00B75D73"/>
    <w:pPr>
      <w:keepNext/>
      <w:keepLines/>
      <w:spacing w:before="240" w:after="240" w:line="420" w:lineRule="exact"/>
      <w:ind w:left="1134" w:right="1134"/>
    </w:pPr>
    <w:rPr>
      <w:b/>
      <w:sz w:val="40"/>
    </w:rPr>
  </w:style>
  <w:style w:type="paragraph" w:customStyle="1" w:styleId="Bullet1G">
    <w:name w:val="_Bullet 1_G"/>
    <w:basedOn w:val="Normal"/>
    <w:rsid w:val="00B75D73"/>
    <w:pPr>
      <w:numPr>
        <w:numId w:val="1"/>
      </w:numPr>
      <w:spacing w:after="120"/>
      <w:ind w:right="1134"/>
      <w:jc w:val="both"/>
    </w:pPr>
  </w:style>
  <w:style w:type="paragraph" w:styleId="Footer">
    <w:name w:val="footer"/>
    <w:aliases w:val="3_G"/>
    <w:basedOn w:val="Normal"/>
    <w:rsid w:val="00B75D73"/>
    <w:pPr>
      <w:spacing w:line="240" w:lineRule="auto"/>
    </w:pPr>
    <w:rPr>
      <w:sz w:val="16"/>
    </w:rPr>
  </w:style>
  <w:style w:type="paragraph" w:customStyle="1" w:styleId="Bullet2G">
    <w:name w:val="_Bullet 2_G"/>
    <w:basedOn w:val="Normal"/>
    <w:rsid w:val="00B75D73"/>
    <w:pPr>
      <w:numPr>
        <w:numId w:val="2"/>
      </w:numPr>
      <w:spacing w:after="120"/>
      <w:ind w:right="1134"/>
      <w:jc w:val="both"/>
    </w:pPr>
  </w:style>
  <w:style w:type="paragraph" w:customStyle="1" w:styleId="H1G">
    <w:name w:val="_ H_1_G"/>
    <w:basedOn w:val="Normal"/>
    <w:next w:val="Normal"/>
    <w:rsid w:val="00B75D73"/>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B75D73"/>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B75D73"/>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B75D73"/>
    <w:pPr>
      <w:keepNext/>
      <w:keepLines/>
      <w:tabs>
        <w:tab w:val="right" w:pos="851"/>
      </w:tabs>
      <w:spacing w:before="240" w:after="120" w:line="240" w:lineRule="exact"/>
      <w:ind w:left="1134" w:right="1134" w:hanging="1134"/>
    </w:pPr>
  </w:style>
  <w:style w:type="character" w:customStyle="1" w:styleId="Strong2">
    <w:name w:val="Strong2"/>
    <w:rsid w:val="005A0FD9"/>
    <w:rPr>
      <w:rFonts w:ascii="Lucida Grande" w:eastAsia="ヒラギノ角ゴ Pro W3" w:hAnsi="Lucida Grande"/>
      <w:b/>
      <w:i w:val="0"/>
      <w:color w:val="000000"/>
      <w:sz w:val="20"/>
    </w:rPr>
  </w:style>
  <w:style w:type="paragraph" w:customStyle="1" w:styleId="ListParagraph1">
    <w:name w:val="List Paragraph1"/>
    <w:autoRedefine/>
    <w:qFormat/>
    <w:rsid w:val="005A0FD9"/>
    <w:pPr>
      <w:tabs>
        <w:tab w:val="left" w:pos="180"/>
      </w:tabs>
    </w:pPr>
    <w:rPr>
      <w:rFonts w:eastAsia="ヒラギノ角ゴ Pro W3"/>
      <w:b/>
      <w:bCs/>
      <w:noProof/>
      <w:color w:val="000000"/>
      <w:sz w:val="24"/>
      <w:szCs w:val="24"/>
    </w:rPr>
  </w:style>
  <w:style w:type="character" w:customStyle="1" w:styleId="Hyperlink2">
    <w:name w:val="Hyperlink2"/>
    <w:rsid w:val="005A0FD9"/>
    <w:rPr>
      <w:color w:val="0000FF"/>
      <w:sz w:val="20"/>
      <w:u w:val="single"/>
    </w:rPr>
  </w:style>
  <w:style w:type="paragraph" w:customStyle="1" w:styleId="NormalWeb1">
    <w:name w:val="Normal (Web)1"/>
    <w:rsid w:val="005A0FD9"/>
    <w:pPr>
      <w:spacing w:before="100" w:after="100"/>
    </w:pPr>
    <w:rPr>
      <w:rFonts w:eastAsia="ヒラギノ角ゴ Pro W3"/>
      <w:color w:val="000000"/>
      <w:sz w:val="24"/>
    </w:rPr>
  </w:style>
  <w:style w:type="character" w:customStyle="1" w:styleId="EmphasisA">
    <w:name w:val="Emphasis A"/>
    <w:rsid w:val="005A0FD9"/>
    <w:rPr>
      <w:rFonts w:ascii="Lucida Grande" w:eastAsia="ヒラギノ角ゴ Pro W3" w:hAnsi="Lucida Grande"/>
      <w:b w:val="0"/>
      <w:i w:val="0"/>
      <w:color w:val="000000"/>
      <w:sz w:val="20"/>
    </w:rPr>
  </w:style>
  <w:style w:type="paragraph" w:customStyle="1" w:styleId="CharCharChar">
    <w:name w:val="Char Char Char"/>
    <w:basedOn w:val="Normal"/>
    <w:rsid w:val="005A0FD9"/>
    <w:pPr>
      <w:suppressAutoHyphens w:val="0"/>
      <w:spacing w:after="160" w:line="240" w:lineRule="exact"/>
    </w:pPr>
    <w:rPr>
      <w:rFonts w:ascii="Verdana" w:eastAsia="MS Mincho" w:hAnsi="Verdana"/>
    </w:rPr>
  </w:style>
  <w:style w:type="paragraph" w:customStyle="1" w:styleId="NoSpacing1">
    <w:name w:val="No Spacing1"/>
    <w:qFormat/>
    <w:rsid w:val="005A0FD9"/>
    <w:rPr>
      <w:rFonts w:eastAsia="ヒラギノ角ゴ Pro W3"/>
      <w:color w:val="000000"/>
      <w:sz w:val="24"/>
    </w:rPr>
  </w:style>
  <w:style w:type="paragraph" w:customStyle="1" w:styleId="FreeFormA">
    <w:name w:val="Free Form A"/>
    <w:rsid w:val="005A0FD9"/>
    <w:rPr>
      <w:rFonts w:eastAsia="ヒラギノ角ゴ Pro W3"/>
      <w:color w:val="000000"/>
    </w:rPr>
  </w:style>
  <w:style w:type="paragraph" w:customStyle="1" w:styleId="Bullet">
    <w:name w:val="Bullet"/>
    <w:basedOn w:val="Normal"/>
    <w:rsid w:val="005A0FD9"/>
    <w:pPr>
      <w:numPr>
        <w:numId w:val="4"/>
      </w:numPr>
      <w:suppressAutoHyphens w:val="0"/>
      <w:spacing w:after="240" w:line="240" w:lineRule="auto"/>
    </w:pPr>
    <w:rPr>
      <w:sz w:val="24"/>
    </w:rPr>
  </w:style>
  <w:style w:type="paragraph" w:customStyle="1" w:styleId="ParaNo">
    <w:name w:val="ParaNo."/>
    <w:basedOn w:val="Normal"/>
    <w:rsid w:val="005A0FD9"/>
    <w:pPr>
      <w:numPr>
        <w:numId w:val="5"/>
      </w:numPr>
      <w:tabs>
        <w:tab w:val="left" w:pos="737"/>
      </w:tabs>
      <w:suppressAutoHyphens w:val="0"/>
      <w:spacing w:after="240" w:line="240" w:lineRule="auto"/>
    </w:pPr>
    <w:rPr>
      <w:sz w:val="24"/>
    </w:rPr>
  </w:style>
  <w:style w:type="paragraph" w:styleId="BodyText">
    <w:name w:val="Body Text"/>
    <w:basedOn w:val="Normal"/>
    <w:rsid w:val="005A0FD9"/>
    <w:pPr>
      <w:tabs>
        <w:tab w:val="left" w:pos="360"/>
        <w:tab w:val="right" w:pos="1636"/>
      </w:tabs>
      <w:suppressAutoHyphens w:val="0"/>
      <w:spacing w:line="240" w:lineRule="auto"/>
    </w:pPr>
    <w:rPr>
      <w:rFonts w:ascii="Arial" w:hAnsi="Arial"/>
      <w:sz w:val="24"/>
    </w:rPr>
  </w:style>
  <w:style w:type="character" w:styleId="Strong">
    <w:name w:val="Strong"/>
    <w:basedOn w:val="DefaultParagraphFont"/>
    <w:qFormat/>
    <w:rsid w:val="005A0FD9"/>
    <w:rPr>
      <w:b/>
      <w:bCs/>
    </w:rPr>
  </w:style>
  <w:style w:type="character" w:customStyle="1" w:styleId="h3title">
    <w:name w:val="h3_title"/>
    <w:basedOn w:val="DefaultParagraphFont"/>
    <w:rsid w:val="005A0FD9"/>
  </w:style>
  <w:style w:type="paragraph" w:customStyle="1" w:styleId="CharCharChar0">
    <w:name w:val="Char Char Char"/>
    <w:basedOn w:val="Normal"/>
    <w:rsid w:val="005A0FD9"/>
    <w:pPr>
      <w:suppressAutoHyphens w:val="0"/>
      <w:spacing w:after="160" w:line="240" w:lineRule="exact"/>
    </w:pPr>
    <w:rPr>
      <w:rFonts w:ascii="Verdana" w:eastAsia="MS Mincho" w:hAnsi="Verdana"/>
    </w:rPr>
  </w:style>
  <w:style w:type="paragraph" w:customStyle="1" w:styleId="Heading41">
    <w:name w:val="Heading 41"/>
    <w:rsid w:val="005A0FD9"/>
    <w:pPr>
      <w:spacing w:before="100" w:after="100"/>
      <w:outlineLvl w:val="3"/>
    </w:pPr>
    <w:rPr>
      <w:rFonts w:ascii="Times New Roman Bold" w:eastAsia="ヒラギノ角ゴ Pro W3" w:hAnsi="Times New Roman Bold"/>
      <w:color w:val="000000"/>
      <w:sz w:val="24"/>
    </w:rPr>
  </w:style>
  <w:style w:type="character" w:customStyle="1" w:styleId="CharChar4">
    <w:name w:val="Char Char4"/>
    <w:basedOn w:val="DefaultParagraphFont"/>
    <w:rsid w:val="005A0FD9"/>
    <w:rPr>
      <w:sz w:val="24"/>
      <w:lang w:val="nl-NL" w:eastAsia="en-US" w:bidi="ar-SA"/>
    </w:rPr>
  </w:style>
  <w:style w:type="paragraph" w:customStyle="1" w:styleId="FreeFormAA">
    <w:name w:val="Free Form A A"/>
    <w:rsid w:val="005A0FD9"/>
    <w:rPr>
      <w:rFonts w:ascii="Lucida Grande" w:eastAsia="ヒラギノ角ゴ Pro W3" w:hAnsi="Lucida Grande"/>
      <w:color w:val="000000"/>
    </w:rPr>
  </w:style>
  <w:style w:type="character" w:styleId="LineNumber">
    <w:name w:val="line number"/>
    <w:basedOn w:val="DefaultParagraphFont"/>
    <w:rsid w:val="005A0FD9"/>
  </w:style>
  <w:style w:type="character" w:styleId="CommentReference">
    <w:name w:val="annotation reference"/>
    <w:basedOn w:val="DefaultParagraphFont"/>
    <w:semiHidden/>
    <w:rsid w:val="005A0FD9"/>
    <w:rPr>
      <w:sz w:val="16"/>
      <w:szCs w:val="16"/>
    </w:rPr>
  </w:style>
  <w:style w:type="paragraph" w:styleId="CommentText">
    <w:name w:val="annotation text"/>
    <w:basedOn w:val="Normal"/>
    <w:semiHidden/>
    <w:rsid w:val="005A0FD9"/>
    <w:pPr>
      <w:suppressAutoHyphens w:val="0"/>
      <w:spacing w:line="240" w:lineRule="auto"/>
    </w:pPr>
    <w:rPr>
      <w:rFonts w:ascii="Trebuchet MS" w:hAnsi="Trebuchet MS"/>
      <w:lang w:eastAsia="nl-NL"/>
    </w:rPr>
  </w:style>
  <w:style w:type="paragraph" w:styleId="CommentSubject">
    <w:name w:val="annotation subject"/>
    <w:basedOn w:val="CommentText"/>
    <w:next w:val="CommentText"/>
    <w:semiHidden/>
    <w:rsid w:val="005A0FD9"/>
    <w:rPr>
      <w:b/>
      <w:bCs/>
    </w:rPr>
  </w:style>
  <w:style w:type="paragraph" w:styleId="BalloonText">
    <w:name w:val="Balloon Text"/>
    <w:basedOn w:val="Normal"/>
    <w:semiHidden/>
    <w:rsid w:val="005A0FD9"/>
    <w:pPr>
      <w:suppressAutoHyphens w:val="0"/>
      <w:spacing w:line="240" w:lineRule="auto"/>
    </w:pPr>
    <w:rPr>
      <w:rFonts w:ascii="Tahoma" w:hAnsi="Tahoma" w:cs="Tahoma"/>
      <w:sz w:val="16"/>
      <w:szCs w:val="16"/>
      <w:lang w:eastAsia="nl-NL"/>
    </w:rPr>
  </w:style>
  <w:style w:type="character" w:styleId="Emphasis">
    <w:name w:val="Emphasis"/>
    <w:basedOn w:val="DefaultParagraphFont"/>
    <w:qFormat/>
    <w:rsid w:val="005A0FD9"/>
    <w:rPr>
      <w:i/>
      <w:iCs/>
    </w:rPr>
  </w:style>
  <w:style w:type="paragraph" w:customStyle="1" w:styleId="msolistparagraph0">
    <w:name w:val="msolistparagraph"/>
    <w:basedOn w:val="Normal"/>
    <w:rsid w:val="005A0FD9"/>
    <w:pPr>
      <w:suppressAutoHyphens w:val="0"/>
      <w:spacing w:after="200" w:line="276" w:lineRule="auto"/>
      <w:ind w:left="720"/>
    </w:pPr>
    <w:rPr>
      <w:rFonts w:ascii="Calibri" w:hAnsi="Calibri"/>
      <w:sz w:val="22"/>
      <w:szCs w:val="22"/>
      <w:lang w:eastAsia="en-GB"/>
    </w:rPr>
  </w:style>
  <w:style w:type="paragraph" w:styleId="PlainText">
    <w:name w:val="Plain Text"/>
    <w:basedOn w:val="Normal"/>
    <w:rsid w:val="005A0FD9"/>
    <w:pPr>
      <w:suppressAutoHyphens w:val="0"/>
      <w:spacing w:line="240" w:lineRule="auto"/>
    </w:pPr>
    <w:rPr>
      <w:rFonts w:ascii="Courier New" w:hAnsi="Courier New" w:cs="Courier New"/>
      <w:lang w:eastAsia="en-GB"/>
    </w:rPr>
  </w:style>
  <w:style w:type="paragraph" w:customStyle="1" w:styleId="Halftitle">
    <w:name w:val="§Half title"/>
    <w:basedOn w:val="Normal"/>
    <w:next w:val="Normal"/>
    <w:rsid w:val="005A0FD9"/>
    <w:pPr>
      <w:pageBreakBefore/>
      <w:suppressAutoHyphens w:val="0"/>
      <w:spacing w:before="240" w:after="240" w:line="240" w:lineRule="auto"/>
      <w:jc w:val="center"/>
    </w:pPr>
    <w:rPr>
      <w:rFonts w:ascii="Times" w:hAnsi="Times"/>
      <w:b/>
      <w:sz w:val="36"/>
      <w:szCs w:val="24"/>
    </w:rPr>
  </w:style>
  <w:style w:type="paragraph" w:customStyle="1" w:styleId="affiliation">
    <w:name w:val="§affiliation"/>
    <w:basedOn w:val="Normal"/>
    <w:rsid w:val="005A0FD9"/>
    <w:pPr>
      <w:keepNext/>
      <w:suppressAutoHyphens w:val="0"/>
      <w:spacing w:before="600" w:after="420" w:line="240" w:lineRule="auto"/>
      <w:jc w:val="center"/>
      <w:outlineLvl w:val="1"/>
    </w:pPr>
    <w:rPr>
      <w:rFonts w:ascii="Times" w:hAnsi="Times" w:cs="Arial"/>
      <w:b/>
      <w:bCs/>
      <w:iCs/>
      <w:sz w:val="24"/>
      <w:szCs w:val="28"/>
    </w:rPr>
  </w:style>
  <w:style w:type="paragraph" w:customStyle="1" w:styleId="Paragraphedeliste">
    <w:name w:val="Paragraphe de liste"/>
    <w:basedOn w:val="Normal"/>
    <w:qFormat/>
    <w:rsid w:val="005A0FD9"/>
    <w:pPr>
      <w:suppressAutoHyphens w:val="0"/>
      <w:spacing w:line="240" w:lineRule="auto"/>
      <w:ind w:left="720"/>
    </w:pPr>
    <w:rPr>
      <w:rFonts w:eastAsia="Calibri"/>
      <w:sz w:val="24"/>
      <w:szCs w:val="24"/>
      <w:lang w:eastAsia="fr-FR"/>
    </w:rPr>
  </w:style>
  <w:style w:type="paragraph" w:styleId="DocumentMap">
    <w:name w:val="Document Map"/>
    <w:basedOn w:val="Normal"/>
    <w:link w:val="DocumentMapChar"/>
    <w:rsid w:val="005A0FD9"/>
    <w:pPr>
      <w:suppressAutoHyphens w:val="0"/>
      <w:spacing w:line="240" w:lineRule="auto"/>
    </w:pPr>
    <w:rPr>
      <w:rFonts w:ascii="Tahoma" w:hAnsi="Tahoma" w:cs="Tahoma"/>
      <w:sz w:val="16"/>
      <w:szCs w:val="16"/>
      <w:lang w:eastAsia="nl-NL"/>
    </w:rPr>
  </w:style>
  <w:style w:type="character" w:customStyle="1" w:styleId="DocumentMapChar">
    <w:name w:val="Document Map Char"/>
    <w:basedOn w:val="DefaultParagraphFont"/>
    <w:link w:val="DocumentMap"/>
    <w:rsid w:val="005A0FD9"/>
    <w:rPr>
      <w:rFonts w:ascii="Tahoma" w:hAnsi="Tahoma" w:cs="Tahoma"/>
      <w:sz w:val="16"/>
      <w:szCs w:val="16"/>
      <w:lang w:val="nl-NL" w:eastAsia="nl-NL" w:bidi="ar-SA"/>
    </w:rPr>
  </w:style>
  <w:style w:type="paragraph" w:styleId="NormalWeb">
    <w:name w:val="Normal (Web)"/>
    <w:basedOn w:val="Normal"/>
    <w:unhideWhenUsed/>
    <w:rsid w:val="005A0FD9"/>
    <w:pPr>
      <w:suppressAutoHyphens w:val="0"/>
      <w:spacing w:before="100" w:beforeAutospacing="1" w:after="100" w:afterAutospacing="1" w:line="240" w:lineRule="auto"/>
    </w:pPr>
    <w:rPr>
      <w:rFonts w:ascii="Verdana" w:hAnsi="Verdana"/>
      <w:color w:val="000000"/>
      <w:sz w:val="29"/>
      <w:szCs w:val="29"/>
      <w:lang w:eastAsia="fr-CH"/>
    </w:rPr>
  </w:style>
  <w:style w:type="paragraph" w:customStyle="1" w:styleId="msolistparagraphcxspfirst">
    <w:name w:val="msolistparagraphcxspfirst"/>
    <w:basedOn w:val="Normal"/>
    <w:rsid w:val="005A0FD9"/>
    <w:pPr>
      <w:suppressAutoHyphens w:val="0"/>
      <w:spacing w:before="100" w:beforeAutospacing="1" w:after="100" w:afterAutospacing="1" w:line="240" w:lineRule="auto"/>
    </w:pPr>
    <w:rPr>
      <w:rFonts w:ascii="Times" w:hAnsi="Times"/>
      <w:lang w:eastAsia="de-DE"/>
    </w:rPr>
  </w:style>
  <w:style w:type="paragraph" w:customStyle="1" w:styleId="msolistparagraphcxspmiddle">
    <w:name w:val="msolistparagraphcxspmiddle"/>
    <w:basedOn w:val="Normal"/>
    <w:rsid w:val="005A0FD9"/>
    <w:pPr>
      <w:suppressAutoHyphens w:val="0"/>
      <w:spacing w:before="100" w:beforeAutospacing="1" w:after="100" w:afterAutospacing="1" w:line="240" w:lineRule="auto"/>
    </w:pPr>
    <w:rPr>
      <w:rFonts w:ascii="Times" w:hAnsi="Times"/>
      <w:lang w:eastAsia="de-DE"/>
    </w:rPr>
  </w:style>
  <w:style w:type="paragraph" w:styleId="TOC2">
    <w:name w:val="toc 2"/>
    <w:basedOn w:val="Normal"/>
    <w:next w:val="Normal"/>
    <w:autoRedefine/>
    <w:semiHidden/>
    <w:rsid w:val="00596018"/>
    <w:pPr>
      <w:ind w:left="200"/>
    </w:pPr>
  </w:style>
  <w:style w:type="paragraph" w:styleId="TOC1">
    <w:name w:val="toc 1"/>
    <w:basedOn w:val="Normal"/>
    <w:next w:val="Normal"/>
    <w:autoRedefine/>
    <w:semiHidden/>
    <w:rsid w:val="00596018"/>
  </w:style>
  <w:style w:type="character" w:customStyle="1" w:styleId="H23GChar">
    <w:name w:val="_ H_2/3_G Char"/>
    <w:basedOn w:val="DefaultParagraphFont"/>
    <w:link w:val="H23G"/>
    <w:rsid w:val="001678B4"/>
    <w:rPr>
      <w:b/>
      <w:lang w:val="nl-NL" w:eastAsia="en-US" w:bidi="ar-SA"/>
    </w:rPr>
  </w:style>
  <w:style w:type="paragraph" w:styleId="TOC3">
    <w:name w:val="toc 3"/>
    <w:basedOn w:val="Normal"/>
    <w:next w:val="Normal"/>
    <w:autoRedefine/>
    <w:semiHidden/>
    <w:rsid w:val="009113E8"/>
    <w:pPr>
      <w:ind w:left="400"/>
    </w:pPr>
  </w:style>
  <w:style w:type="character" w:customStyle="1" w:styleId="SingleTxtGChar">
    <w:name w:val="_ Single Txt_G Char"/>
    <w:basedOn w:val="DefaultParagraphFont"/>
    <w:link w:val="SingleTxtG"/>
    <w:rsid w:val="005D05EA"/>
    <w:rPr>
      <w:lang w:val="nl-NL"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15756</Words>
  <Characters>86662</Characters>
  <Application>Microsoft Office Word</Application>
  <DocSecurity>0</DocSecurity>
  <Lines>722</Lines>
  <Paragraphs>204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United Nations</vt:lpstr>
      <vt:lpstr>United Nations</vt:lpstr>
    </vt:vector>
  </TitlesOfParts>
  <Company>CSD</Company>
  <LinksUpToDate>false</LinksUpToDate>
  <CharactersWithSpaces>102214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dc:title>
  <dc:subject/>
  <dc:creator>Vitirol</dc:creator>
  <cp:keywords/>
  <dc:description/>
  <cp:lastModifiedBy>Loes Hartman</cp:lastModifiedBy>
  <cp:revision>3</cp:revision>
  <cp:lastPrinted>2011-03-21T09:14:00Z</cp:lastPrinted>
  <dcterms:created xsi:type="dcterms:W3CDTF">2019-05-10T16:02:00Z</dcterms:created>
  <dcterms:modified xsi:type="dcterms:W3CDTF">2019-10-31T23:08:00Z</dcterms:modified>
</cp:coreProperties>
</file>