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67FDD" w14:textId="77777777" w:rsidR="00261564" w:rsidRDefault="0026156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36"/>
        <w:gridCol w:w="3366"/>
      </w:tblGrid>
      <w:tr w:rsidR="00261564" w14:paraId="50FD48BA" w14:textId="77777777">
        <w:tc>
          <w:tcPr>
            <w:tcW w:w="1560" w:type="dxa"/>
            <w:tcBorders>
              <w:top w:val="nil"/>
              <w:left w:val="nil"/>
              <w:bottom w:val="single" w:sz="6" w:space="0" w:color="auto"/>
              <w:right w:val="nil"/>
            </w:tcBorders>
          </w:tcPr>
          <w:p w14:paraId="3D443127" w14:textId="77777777" w:rsidR="00261564" w:rsidRDefault="00FA7CD5" w:rsidP="00DB241E">
            <w:pPr>
              <w:rPr>
                <w:rFonts w:ascii="Univers" w:hAnsi="Univers"/>
                <w:b/>
                <w:sz w:val="28"/>
              </w:rPr>
            </w:pPr>
            <w:r>
              <w:rPr>
                <w:rFonts w:ascii="Univers" w:hAnsi="Univers"/>
                <w:b/>
                <w:sz w:val="28"/>
              </w:rPr>
              <w:t>VERENIGDE NATIES</w:t>
            </w:r>
          </w:p>
        </w:tc>
        <w:tc>
          <w:tcPr>
            <w:tcW w:w="4536" w:type="dxa"/>
            <w:tcBorders>
              <w:top w:val="nil"/>
              <w:left w:val="nil"/>
              <w:bottom w:val="single" w:sz="6" w:space="0" w:color="auto"/>
              <w:right w:val="nil"/>
            </w:tcBorders>
          </w:tcPr>
          <w:p w14:paraId="7C1E8659" w14:textId="77777777" w:rsidR="00261564" w:rsidRDefault="00261564"/>
        </w:tc>
        <w:tc>
          <w:tcPr>
            <w:tcW w:w="3366" w:type="dxa"/>
            <w:tcBorders>
              <w:top w:val="nil"/>
              <w:left w:val="nil"/>
              <w:bottom w:val="single" w:sz="6" w:space="0" w:color="auto"/>
              <w:right w:val="nil"/>
            </w:tcBorders>
          </w:tcPr>
          <w:p w14:paraId="3A14F4BA" w14:textId="77777777" w:rsidR="00261564" w:rsidRDefault="00FA7CD5">
            <w:pPr>
              <w:jc w:val="right"/>
              <w:rPr>
                <w:rFonts w:ascii="Univers" w:hAnsi="Univers"/>
                <w:b/>
                <w:sz w:val="72"/>
              </w:rPr>
            </w:pPr>
            <w:r>
              <w:rPr>
                <w:rFonts w:ascii="Univers" w:hAnsi="Univers"/>
                <w:b/>
                <w:sz w:val="72"/>
              </w:rPr>
              <w:t>VRK</w:t>
            </w:r>
          </w:p>
        </w:tc>
      </w:tr>
      <w:tr w:rsidR="00261564" w14:paraId="45805B2C" w14:textId="77777777">
        <w:tc>
          <w:tcPr>
            <w:tcW w:w="1560" w:type="dxa"/>
            <w:tcBorders>
              <w:top w:val="single" w:sz="6" w:space="0" w:color="auto"/>
              <w:left w:val="nil"/>
              <w:bottom w:val="single" w:sz="36" w:space="0" w:color="auto"/>
              <w:right w:val="nil"/>
            </w:tcBorders>
          </w:tcPr>
          <w:p w14:paraId="1FDBFA83" w14:textId="77777777" w:rsidR="00261564" w:rsidRDefault="00261564"/>
          <w:bookmarkStart w:id="0" w:name="_MON_992683145"/>
          <w:bookmarkEnd w:id="0"/>
          <w:p w14:paraId="55263F7E" w14:textId="77777777" w:rsidR="00261564" w:rsidRDefault="00FA7CD5">
            <w:r>
              <w:object w:dxaOrig="1441" w:dyaOrig="1340" w14:anchorId="60394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6.75pt" o:ole="" fillcolor="window">
                  <v:imagedata r:id="rId7" o:title=""/>
                </v:shape>
                <o:OLEObject Type="Embed" ProgID="Word.Picture.8" ShapeID="_x0000_i1025" DrawAspect="Content" ObjectID="_1633034904" r:id="rId8"/>
              </w:object>
            </w:r>
          </w:p>
        </w:tc>
        <w:tc>
          <w:tcPr>
            <w:tcW w:w="4536" w:type="dxa"/>
            <w:tcBorders>
              <w:top w:val="single" w:sz="6" w:space="0" w:color="auto"/>
              <w:left w:val="nil"/>
              <w:bottom w:val="single" w:sz="36" w:space="0" w:color="auto"/>
              <w:right w:val="nil"/>
            </w:tcBorders>
          </w:tcPr>
          <w:p w14:paraId="375E9EB0" w14:textId="77777777" w:rsidR="00261564" w:rsidRDefault="00261564">
            <w:pPr>
              <w:rPr>
                <w:rFonts w:ascii="Univers" w:hAnsi="Univers"/>
                <w:b/>
                <w:sz w:val="32"/>
              </w:rPr>
            </w:pPr>
          </w:p>
          <w:p w14:paraId="43FA9E94" w14:textId="77777777" w:rsidR="00261564" w:rsidRDefault="00FA7CD5">
            <w:pPr>
              <w:rPr>
                <w:rFonts w:ascii="Univers" w:hAnsi="Univers"/>
                <w:b/>
                <w:sz w:val="36"/>
              </w:rPr>
            </w:pPr>
            <w:r>
              <w:rPr>
                <w:rFonts w:ascii="Univers" w:hAnsi="Univers"/>
                <w:b/>
                <w:sz w:val="36"/>
              </w:rPr>
              <w:t>Verdrag inzake de rechten van het kind</w:t>
            </w:r>
          </w:p>
          <w:p w14:paraId="00A2690A" w14:textId="77777777" w:rsidR="00261564" w:rsidRDefault="00261564">
            <w:pPr>
              <w:rPr>
                <w:rFonts w:ascii="Univers" w:hAnsi="Univers"/>
                <w:b/>
                <w:sz w:val="32"/>
              </w:rPr>
            </w:pPr>
          </w:p>
          <w:p w14:paraId="71A44CDE" w14:textId="77777777" w:rsidR="00261564" w:rsidRDefault="00261564">
            <w:pPr>
              <w:rPr>
                <w:rFonts w:ascii="Univers (W1)" w:hAnsi="Univers (W1)"/>
                <w:sz w:val="32"/>
              </w:rPr>
            </w:pPr>
          </w:p>
        </w:tc>
        <w:tc>
          <w:tcPr>
            <w:tcW w:w="3366" w:type="dxa"/>
            <w:tcBorders>
              <w:top w:val="single" w:sz="6" w:space="0" w:color="auto"/>
              <w:left w:val="nil"/>
              <w:bottom w:val="single" w:sz="36" w:space="0" w:color="auto"/>
              <w:right w:val="nil"/>
            </w:tcBorders>
          </w:tcPr>
          <w:p w14:paraId="4725CF3E" w14:textId="77777777" w:rsidR="00261564" w:rsidRDefault="00261564"/>
          <w:p w14:paraId="108C66CD" w14:textId="77777777" w:rsidR="00261564" w:rsidRDefault="00261564"/>
          <w:p w14:paraId="755081D0" w14:textId="77777777" w:rsidR="00261564" w:rsidRDefault="00FA7CD5">
            <w:r>
              <w:t xml:space="preserve">Distr. </w:t>
            </w:r>
            <w:fldSimple w:instr=" FILLIN Distr. \* MERGEFORMAT ">
              <w:r>
                <w:t>ALGEMEEN</w:t>
              </w:r>
            </w:fldSimple>
          </w:p>
          <w:p w14:paraId="2C91035F" w14:textId="77777777" w:rsidR="00261564" w:rsidRDefault="00261564"/>
          <w:p w14:paraId="523B2243" w14:textId="77777777" w:rsidR="00261564" w:rsidRDefault="00FA7CD5">
            <w:fldSimple w:instr=" FILLIN Symbool \* MERGEFORMAT ">
              <w:r>
                <w:t>CRC/GC/2001/1</w:t>
              </w:r>
            </w:fldSimple>
          </w:p>
          <w:p w14:paraId="419E3A82" w14:textId="77777777" w:rsidR="00261564" w:rsidRDefault="00FA7CD5">
            <w:fldSimple w:instr=" FILLIN Datum \* MERGEFORMAT ">
              <w:r>
                <w:t>17 april 2001</w:t>
              </w:r>
            </w:fldSimple>
          </w:p>
          <w:p w14:paraId="6E3762B8" w14:textId="77777777" w:rsidR="00261564" w:rsidRDefault="00261564"/>
          <w:p w14:paraId="5DD31059" w14:textId="77777777" w:rsidR="00261564" w:rsidRDefault="00FA7CD5">
            <w:r>
              <w:t xml:space="preserve">Origineel:  </w:t>
            </w:r>
            <w:fldSimple w:instr=" FILLIN &quot;Orig. xxxLang.&quot; \* MERGEFORMAT ">
              <w:r>
                <w:t>ENGELS</w:t>
              </w:r>
            </w:fldSimple>
          </w:p>
          <w:p w14:paraId="05270891" w14:textId="77777777" w:rsidR="00261564" w:rsidRDefault="00261564"/>
        </w:tc>
      </w:tr>
    </w:tbl>
    <w:p w14:paraId="68367F2C" w14:textId="77777777" w:rsidR="00261564" w:rsidRDefault="00261564"/>
    <w:p w14:paraId="0DB9B32C" w14:textId="77777777" w:rsidR="00261564" w:rsidRDefault="00261564"/>
    <w:p w14:paraId="281B5FF3" w14:textId="77777777" w:rsidR="00261564" w:rsidRDefault="00FA7CD5">
      <w:pPr>
        <w:pStyle w:val="Heading1"/>
      </w:pPr>
      <w:r>
        <w:t>Bijlage IX</w:t>
      </w:r>
    </w:p>
    <w:p w14:paraId="3D3CB343" w14:textId="77777777" w:rsidR="00261564" w:rsidRDefault="00261564"/>
    <w:p w14:paraId="5CB5DDD7" w14:textId="77777777" w:rsidR="00261564" w:rsidRDefault="00FA7CD5">
      <w:pPr>
        <w:pStyle w:val="Heading2"/>
      </w:pPr>
      <w:r>
        <w:t>General Comment Nr. 1 (2001)</w:t>
      </w:r>
    </w:p>
    <w:p w14:paraId="480C6C67" w14:textId="77777777" w:rsidR="00261564" w:rsidRDefault="00261564">
      <w:pPr>
        <w:pStyle w:val="Heading2"/>
      </w:pPr>
    </w:p>
    <w:p w14:paraId="1FA78975" w14:textId="77777777" w:rsidR="00261564" w:rsidRDefault="00FA7CD5">
      <w:pPr>
        <w:pStyle w:val="Heading2"/>
      </w:pPr>
      <w:r>
        <w:t>Artikel 29 (1):  Over de doelstellingen van het onderwijs</w:t>
      </w:r>
    </w:p>
    <w:p w14:paraId="7950FF67" w14:textId="77777777" w:rsidR="00261564" w:rsidRDefault="00261564">
      <w:pPr>
        <w:pStyle w:val="Heading2"/>
      </w:pPr>
    </w:p>
    <w:p w14:paraId="33631193" w14:textId="77777777" w:rsidR="00261564" w:rsidRDefault="00261564"/>
    <w:p w14:paraId="7AA5F151" w14:textId="77777777" w:rsidR="00261564" w:rsidRDefault="00FA7CD5">
      <w:pPr>
        <w:pStyle w:val="Heading3"/>
      </w:pPr>
      <w:r>
        <w:t>Artikel 29 (1), Verdrag inzake de rechten van het kind</w:t>
      </w:r>
    </w:p>
    <w:p w14:paraId="4B27A41D" w14:textId="77777777" w:rsidR="00261564" w:rsidRDefault="00261564">
      <w:pPr>
        <w:pStyle w:val="Heading3"/>
      </w:pPr>
    </w:p>
    <w:p w14:paraId="4ACFD7C2" w14:textId="77777777" w:rsidR="00261564" w:rsidRDefault="00FA7CD5">
      <w:r>
        <w:tab/>
        <w:t>“1.</w:t>
      </w:r>
      <w:r>
        <w:tab/>
        <w:t xml:space="preserve">De Staten die partij zijn, komen overeen dat het onderwijs aan het kind dient te zijn gericht op:  </w:t>
      </w:r>
    </w:p>
    <w:p w14:paraId="2295048C" w14:textId="77777777" w:rsidR="00261564" w:rsidRDefault="00261564"/>
    <w:p w14:paraId="49DC24E2" w14:textId="77777777" w:rsidR="00261564" w:rsidRDefault="00FA7CD5">
      <w:pPr>
        <w:ind w:left="720"/>
      </w:pPr>
      <w:r>
        <w:tab/>
        <w:t>“(a)</w:t>
      </w:r>
      <w:r>
        <w:tab/>
        <w:t>de zo volledig mogelijke ontplooiing van de persoonlijkheid, talenten en geestelijke en lichamelijke vermogens van het kind;</w:t>
      </w:r>
    </w:p>
    <w:p w14:paraId="1D7FCA85" w14:textId="77777777" w:rsidR="00261564" w:rsidRDefault="00261564">
      <w:pPr>
        <w:ind w:left="1440"/>
      </w:pPr>
    </w:p>
    <w:p w14:paraId="4A8910AE" w14:textId="77777777" w:rsidR="00261564" w:rsidRDefault="00FA7CD5">
      <w:pPr>
        <w:ind w:left="720"/>
      </w:pPr>
      <w:r>
        <w:tab/>
        <w:t>“(b)</w:t>
      </w:r>
      <w:r>
        <w:tab/>
        <w:t>het bijbrengen van eerbied voor de rechten van de mens en de fundamentele vrijheden, en voor de in het Handvest van de Verenigde Naties vastgelegde beginselen;</w:t>
      </w:r>
    </w:p>
    <w:p w14:paraId="0751BE2D" w14:textId="77777777" w:rsidR="00261564" w:rsidRDefault="00261564">
      <w:pPr>
        <w:ind w:left="720"/>
      </w:pPr>
    </w:p>
    <w:p w14:paraId="65F98B74" w14:textId="77777777" w:rsidR="00261564" w:rsidRDefault="00FA7CD5">
      <w:pPr>
        <w:ind w:left="720"/>
      </w:pPr>
      <w:r>
        <w:tab/>
        <w:t>“(c)</w:t>
      </w:r>
      <w:r>
        <w:tab/>
        <w:t>het bijbrengen van eerbied voor de ouders van het kind, voor zijn of haar eigen culturele identiteit, taal en waarden, voor de nationale waarden van het land waar het kind woont, het land waar het is geboren, en voor andere beschavingen dan de zijne of hare;</w:t>
      </w:r>
    </w:p>
    <w:p w14:paraId="3167C971" w14:textId="77777777" w:rsidR="00261564" w:rsidRDefault="00261564"/>
    <w:p w14:paraId="75A7C7E5" w14:textId="77777777" w:rsidR="00261564" w:rsidRDefault="00FA7CD5">
      <w:pPr>
        <w:ind w:left="720"/>
      </w:pPr>
      <w:r>
        <w:tab/>
        <w:t>“(d)</w:t>
      </w:r>
      <w:r>
        <w:tab/>
        <w:t>de voorbereiding van het kind op een verantwoord leven in een vrije samenleving, in de geest van begrip, vrede, verdraagzaamheid, gelijkheid van geslachten, en vriendschap tussen alle volken, etnische, nationale en godsdienstige groepen en personen behorend tot de oorspronkelijke bevolking;</w:t>
      </w:r>
    </w:p>
    <w:p w14:paraId="40AC7FD9" w14:textId="77777777" w:rsidR="00261564" w:rsidRDefault="00261564"/>
    <w:p w14:paraId="34B171CA" w14:textId="77777777" w:rsidR="00261564" w:rsidRDefault="00FA7CD5">
      <w:pPr>
        <w:ind w:left="720"/>
      </w:pPr>
      <w:r>
        <w:tab/>
        <w:t>“(e)</w:t>
      </w:r>
      <w:r>
        <w:tab/>
        <w:t>het bijbrengen van eerbied voor de natuurlijke omgeving.”</w:t>
      </w:r>
    </w:p>
    <w:p w14:paraId="16671093" w14:textId="77777777" w:rsidR="00261564" w:rsidRDefault="00261564">
      <w:pPr>
        <w:ind w:left="720"/>
      </w:pPr>
    </w:p>
    <w:p w14:paraId="0AF3A81B" w14:textId="77777777" w:rsidR="00261564" w:rsidRDefault="00261564">
      <w:pPr>
        <w:ind w:left="720"/>
      </w:pPr>
    </w:p>
    <w:p w14:paraId="4084B8F9" w14:textId="77777777" w:rsidR="00261564" w:rsidRDefault="00261564">
      <w:pPr>
        <w:ind w:left="720"/>
      </w:pPr>
    </w:p>
    <w:p w14:paraId="3EB905E5" w14:textId="77777777" w:rsidR="00261564" w:rsidRDefault="00261564">
      <w:pPr>
        <w:ind w:left="720"/>
      </w:pPr>
    </w:p>
    <w:p w14:paraId="5B23E912" w14:textId="77777777" w:rsidR="00261564" w:rsidRDefault="00261564">
      <w:pPr>
        <w:ind w:left="720"/>
      </w:pPr>
    </w:p>
    <w:p w14:paraId="0BB1514D" w14:textId="77777777" w:rsidR="00261564" w:rsidRDefault="00261564">
      <w:pPr>
        <w:ind w:left="720"/>
      </w:pPr>
    </w:p>
    <w:p w14:paraId="2C88B0D2" w14:textId="77777777" w:rsidR="00261564" w:rsidRDefault="00FA7CD5">
      <w:r>
        <w:t>GE.01-41253  (NL)</w:t>
      </w:r>
    </w:p>
    <w:p w14:paraId="12F42476" w14:textId="77777777" w:rsidR="00261564" w:rsidRDefault="00FA7CD5">
      <w:pPr>
        <w:pStyle w:val="Heading1"/>
      </w:pPr>
      <w:r>
        <w:t>Bijlage</w:t>
      </w:r>
    </w:p>
    <w:p w14:paraId="3B2770E0" w14:textId="77777777" w:rsidR="00261564" w:rsidRDefault="00261564"/>
    <w:p w14:paraId="73220914" w14:textId="77777777" w:rsidR="00261564" w:rsidRDefault="00FA7CD5">
      <w:pPr>
        <w:pStyle w:val="Heading2"/>
      </w:pPr>
      <w:r>
        <w:t>General Comment Nr. 1 (2001):  Over de doelstellingen van het onderwijs</w:t>
      </w:r>
    </w:p>
    <w:p w14:paraId="7BC33DF2" w14:textId="77777777" w:rsidR="00261564" w:rsidRDefault="00261564"/>
    <w:p w14:paraId="0C2C6C85" w14:textId="77777777" w:rsidR="00261564" w:rsidRDefault="00FA7CD5">
      <w:pPr>
        <w:pStyle w:val="Heading3"/>
      </w:pPr>
      <w:r>
        <w:t>De betekenis van artikel 29 (1)</w:t>
      </w:r>
    </w:p>
    <w:p w14:paraId="1F4BEAAF" w14:textId="77777777" w:rsidR="00261564" w:rsidRDefault="00261564"/>
    <w:p w14:paraId="3E76F02D" w14:textId="77777777" w:rsidR="00261564" w:rsidRDefault="00FA7CD5">
      <w:r>
        <w:t>1.</w:t>
      </w:r>
      <w:r>
        <w:tab/>
        <w:t xml:space="preserve">Artikel 29 lid 1 van het Verdrag inzake de rechten van het kind is van vergaand belang.  De doelstellingen voor onderwijs die hierin zijn gesteld, en die door alle Staten die partij zijn, zijn aanvaard, ondersteunen en beschermen de kernwaarde van het Verdrag:  de menselijke waardigheid van het kind en zijn of haar gelijke en onvervreemdbare rechten.  Deze doelstellingen, die beschreven zijn in de subparagrafen van artikel 29 (1), houden alle direct verband met de verwezenlijking van de waardigheid en de rechten van het kind, waarbij rekening wordt gehouden met de bijzondere ontwikkelingsbehoeften en de uiteenlopende, zich ontwikkelende capaciteiten van het kind.  De doelstellingen zijn:  de holistische ontwikkeling van het volledige potentieel van het kind (29 (1) (a)), waaronder de ontwikkeling van het respect voor mensenrechten (29 (1) (b)), een versterkt gevoel van identiteit en verbondenheid (29 (1) (c)), en zijn of haar socialisatie en interactie met anderen (29 (1) (d)) en met de omgeving (29 (1) (e)).  </w:t>
      </w:r>
    </w:p>
    <w:p w14:paraId="73E8B574" w14:textId="77777777" w:rsidR="00261564" w:rsidRPr="0081056B" w:rsidRDefault="00261564"/>
    <w:p w14:paraId="41860B71" w14:textId="77777777" w:rsidR="00261564" w:rsidRDefault="00FA7CD5">
      <w:r>
        <w:t>2.</w:t>
      </w:r>
      <w:r>
        <w:tab/>
        <w:t>Artikel 29 (1) voegt aan het recht op onderwijs zoals vastgelegd in artikel 28 a niet alleen een kwalitatief aspect toe dat de rechten en de inherente waardigheid van het kind weergeeft. Het benadrukt ook de noodzaak dat het onderwijs het kind centraal stelt, kindvriendelijk is en dat het kansen biedt aan het kind. Ook wordt benadrukt dat onderwijsprocessen op dezelfde beginselen moeten zijn gebaseerd als die van het artikel zelf.</w:t>
      </w:r>
      <w:r>
        <w:rPr>
          <w:rStyle w:val="EndnoteReference"/>
        </w:rPr>
        <w:endnoteReference w:id="1"/>
      </w:r>
      <w:r>
        <w:t xml:space="preserve">  Het onderwijs waar ieder kind recht op heeft, is bedoeld om het kind vaardigheden voor het leven te geven, om de vermogens van het kind te versterken zodat het alle mensenrechten kan genieten en om een cultuur met passende waarden op het gebied van mensenrechten te bevorderen.  Het doel is om het kind de kans te geven om zijn of haar vaardigheden te ontwikkelen, te leren en andere vermogens te ontwikkelen en menselijke waardigheid, eigenwaarde en zelfvertrouwen op te bouwen.  In deze context houdt ‘onderwijs’ veel meer in dan formele scholing. Een brede waaier aan levenservaring en leerprocessen stelt kinderen, individueel of collectief, in staat om hun persoonlijkheden, talenten en mogelijkheden te ontwikkelen en een volwaardig en gelukkig leven te leiden in de samenleving.</w:t>
      </w:r>
    </w:p>
    <w:p w14:paraId="4E71C1E5" w14:textId="77777777" w:rsidR="00261564" w:rsidRDefault="00261564"/>
    <w:p w14:paraId="7D2851D8" w14:textId="77777777" w:rsidR="00261564" w:rsidRDefault="00FA7CD5">
      <w:pPr>
        <w:spacing w:before="240"/>
      </w:pPr>
      <w:r>
        <w:t>3.</w:t>
      </w:r>
      <w:r>
        <w:tab/>
        <w:t xml:space="preserve">Bij de rechten van het kind op onderwijs gaat het niet alleen om toegang (art. 28) maar ook om inhoud. Onderwijs dat gebaseerd is op de waarden zoals geformuleerd in artikel 29 (1) is voor ieder kind een onmisbaar hulpmiddel om gedurende zijn of haar leven op een gebalanceerde manier en met aandacht voor mensenrechten te kunnen omgaan met de uitdagingen die horen bij een periode van fundamentele verandering als gevolg van globalisering, nieuwe technologieën en verwante verschijnselen.  Onder dit soort uitdagingen verstaan we onder andere de spanningen tussen wereldwijd en lokaal, het individu en het collectief, traditioneel en hedendaags, overwegingen voor de korte en de lange </w:t>
      </w:r>
      <w:r>
        <w:noBreakHyphen/>
        <w:t xml:space="preserve">termijn, concurrentie en gelijke kansen, kennisvergroting en het vermogen om kennis op te nemen en het </w:t>
      </w:r>
      <w:r>
        <w:lastRenderedPageBreak/>
        <w:t>spirituele en het materiële.</w:t>
      </w:r>
      <w:r>
        <w:rPr>
          <w:rStyle w:val="EndnoteReference"/>
        </w:rPr>
        <w:endnoteReference w:id="2"/>
      </w:r>
      <w:r>
        <w:t xml:space="preserve">  Toch lijken in de belangrijkste nationale en internationale programma's en in het onderwijsbeleid de elementen die zijn vastgelegd in artikel (1) vaak grotendeels te ontbreken of worden ze slechts als bijzaak vermeld.  </w:t>
      </w:r>
    </w:p>
    <w:p w14:paraId="0ED8BBA4" w14:textId="77777777" w:rsidR="00261564" w:rsidRDefault="00261564"/>
    <w:p w14:paraId="2BA332E9" w14:textId="77777777" w:rsidR="00261564" w:rsidRDefault="00FA7CD5">
      <w:r>
        <w:t>4.</w:t>
      </w:r>
      <w:r>
        <w:tab/>
        <w:t>Artikel 29 (1) bepaalt dat de Staten die partij zijn, overeenkomen dat onderwijs gericht moet zijn op een breed spectrum aan waarden.  Deze overeenkomst overstijgt de grenzen van religie, land en cultuur die grote delen van de wereld van elkaar scheiden.  Op het eerste gezicht lijken een aantal van de waarden die in artikel 29 (1) worden genoemd in bepaalde situaties met elkaar te conflicteren.  Zo zal het streven om begrip, tolerantie en vriendschap tussen alle mensen te bevorderen, waar lid (1) (d) aan refereert, niet altijd automatisch verenigbaar zijn met beleid dat, overeenkomstig lid (1) (c), gericht is op het bijbrengen van respect voor de eigen culturele identiteit, taal en waarden van het kind, voor de nationale waarden van het land waar het kind in woont, het land waar hij of zij oorspronkelijk vandaan komt, en voor beschavingen die verschillen van de eigen beschaving.  Een deel van het belang van deze bepaling ligt juist in de erkenning van de noodzaak voor een gebalanceerde aanpak van onderwijs, die op succesvolle wijze verschillende waarden bijeen kan brengen via dialoog en respect voor verschil.  Kinderen kunnen daarnaast een unieke rol spelen in het overbruggen van veel van de verschillen die historisch gezien groepen mensen van elkaar gescheiden hielden.</w:t>
      </w:r>
    </w:p>
    <w:p w14:paraId="2EE4CE31" w14:textId="77777777" w:rsidR="00261564" w:rsidRDefault="00261564"/>
    <w:p w14:paraId="1AC6F476" w14:textId="77777777" w:rsidR="00261564" w:rsidRDefault="00FA7CD5">
      <w:pPr>
        <w:pStyle w:val="Heading3"/>
      </w:pPr>
      <w:r>
        <w:t>De functies van artikel 29 (1)</w:t>
      </w:r>
    </w:p>
    <w:p w14:paraId="5D9D115B" w14:textId="77777777" w:rsidR="00261564" w:rsidRDefault="00261564"/>
    <w:p w14:paraId="6DAFBCA1" w14:textId="77777777" w:rsidR="00261564" w:rsidRDefault="00FA7CD5">
      <w:r>
        <w:t>5.</w:t>
      </w:r>
      <w:r>
        <w:tab/>
        <w:t>Artikel 29 (1) is veel meer dan een verzameling of opsomming van verschillende doelstellingen die het onderwijs zou moeten bereiken.  Binnen de algemene context van het Verdrag dient het om, onder andere, de volgende aspecten te benadrukken.</w:t>
      </w:r>
    </w:p>
    <w:p w14:paraId="09E44DE6" w14:textId="77777777" w:rsidR="00261564" w:rsidRDefault="00261564"/>
    <w:p w14:paraId="168D2921" w14:textId="77777777" w:rsidR="00261564" w:rsidRDefault="00FA7CD5">
      <w:r>
        <w:t>6.</w:t>
      </w:r>
      <w:r>
        <w:tab/>
        <w:t>Allereerst benadrukt het de noodzakelijke onderlinge verbondenheid van de bepalingen van het Verdrag.  Deze verwijzen naar andere bepalingen, versterken, integreren en vullen deze aan, en kunnen niet goed los hiervan gezien worden.  Naast de algemene beginselen van het Verdrag - non-discriminatie (art. 2), het belang van het kind (art. 3), het recht op leven, overleven en ontwikkeling (art. 6), en het recht om een mening te uiten waarbij aan deze mening belang wordt gehecht (art. 12) - kunnen vele andere bepalingen worden genoemd, waaronder, maar niet beperkt tot, de rechten en verantwoordelijkheden van ouders (art. 5 en 18), recht op vrijheid van meningsuiting (art. 13), vrijheid van gedachte (art. 14), het recht op informatie (art. 17), de rechten van het gehandicapte kind (art. 23), het recht op onderwijs over gezondheid (art. 24), het recht op onderwijs (art. 28), en de rechten van kinderen die behoren tot minderheidsgroeperingen om zich van de eigen taal te bedienen en de eigen cultuur te beleven (art. 30).</w:t>
      </w:r>
    </w:p>
    <w:p w14:paraId="406F8FC9" w14:textId="77777777" w:rsidR="00261564" w:rsidRDefault="00261564"/>
    <w:p w14:paraId="12EBDFB9" w14:textId="77777777" w:rsidR="00261564" w:rsidRDefault="00FA7CD5">
      <w:r>
        <w:t>7.</w:t>
      </w:r>
      <w:r>
        <w:tab/>
        <w:t>Kinderrechten zijn geen losstaande of geïsoleerde waarden zonder context, maar zijn onderdeel van een breder ethisch kader dat gedeeltelijk wordt beschreven in artikel 29 (1) en in de preambule van het Verdrag.  Het antwoord op veel van de punten van kritiek op het Verdrag is terug te vinden in deze bepaling.  Zo onderstreept dit artikel bijvoorbeeld het belang van eerbied voor ouders, de noodzaak om rechten te beschouwen in hun bredere ethische, morele, spirituele, culturele of sociale kader, en het feit dat de meeste kinderrechten allesbehalve wettelijk zijn opgelegd, maar verankerd zijn in de waarden van lokale gemeenschappen.</w:t>
      </w:r>
    </w:p>
    <w:p w14:paraId="7DF27D8B" w14:textId="77777777" w:rsidR="00261564" w:rsidRDefault="00261564"/>
    <w:p w14:paraId="5AC72652" w14:textId="77777777" w:rsidR="00261564" w:rsidRDefault="00FA7CD5">
      <w:r>
        <w:t>8.</w:t>
      </w:r>
      <w:r>
        <w:tab/>
        <w:t>Verder hecht het artikel waarde aan het proces waarmee het recht op onderwijs moet worden bevorderd.  Zo moeten inspanningen om te genieten van andere rechten niet worden ondermijnd, en moeten bekrachtigd worden, door de waarden die in het onderwijsproces worden overgebracht.  Hieronder valt niet alleen de inhoud van het curriculum, maar ook de onderwijsprocessen, de pedagogische methoden en de omgeving waarin het onderwijs plaatsvindt, of dat nu thuis, op school of elders is.  Kinderen hebben ook binnen de schoolmuren mensenrechten.  Zo moet onderwijs worden aangeboden met eerbied voor de waardigheid inherent aan het kind, en het kind de mogelijkheid geven om zijn of haar mening vrijelijk te uiten conform artikel 12 (1) en deel te nemen aan het schoolleven.  Onderwijs moet ook worden aangeboden op een manier die de strikte wijze van handhaving van de discipline in artikel 28 (2) reflecteert en moet geweld op school voorkomen.  Het Comité heeft in haar slotformulering meerdere malen duidelijk gemaakt dat het gebruik van lichaamsstraffen de waardigheid van het kind niet eerbiedigt noch de strikte wijze van handhaving van de discipline op school.  Om te kunnen voldoen aan de waarden die zijn vastgelegd in artikel 29 (1) staat duidelijk dat scholen kindvriendelijk moeten zijn in de breedste zin van het woord en in alle opzichten consistent moeten zijn met de waardigheid van het kind.  De deelname van kinderen aan het schoolleven, het creëren van schoolgemeenschappen en leerlingenraden, onderwijs en begeleiding door leeftijdgenoten en de betrokkenheid van kinderen bij disciplinaire procedures van de school moet worden bevorderd als onderdeel van het leerproces en het ervaren van de verwezenlijking van rechten.</w:t>
      </w:r>
    </w:p>
    <w:p w14:paraId="2515F620" w14:textId="77777777" w:rsidR="00261564" w:rsidRDefault="00261564"/>
    <w:p w14:paraId="568FF766" w14:textId="77777777" w:rsidR="00261564" w:rsidRDefault="00FA7CD5">
      <w:r>
        <w:t>9.</w:t>
      </w:r>
      <w:r>
        <w:tab/>
        <w:t>Ten derde, waar artikel 28 zich richt op de verplichtingen van Staten die partij zijn, met betrekking tot de ontwikkeling van vormen van onderwijs en het waarborgen van toegang hiertoe, benadrukt artikel 29 (1) het individuele en subjectieve recht op een specifieke kwaliteit van onderwijs.  In overeenstemming met de nadruk die het Verdrag legt op het belang om te handelen in het belang van het kind, benadrukt dit artikel de boodschap van kindgericht onderwijs:  dat het hoofddoel van onderwijs is het ontwikkelen van de persoonlijkheid, talenten en vaardigheden van ieder individueel kind, rekening houdend met het feit dat ieder kind unieke eigenschappen, interesses, mogelijkheden en leerbehoeften heeft.</w:t>
      </w:r>
      <w:r>
        <w:rPr>
          <w:rStyle w:val="EndnoteReference"/>
        </w:rPr>
        <w:endnoteReference w:id="3"/>
      </w:r>
      <w:r>
        <w:t xml:space="preserve">  Het curriculum moet daarom rechtstreeks aansluiten bij de omgeving en de sociale, culturele en economische context van het kind, en bij de huidige en toekomstige behoeften. Ook moet er rekening worden gehouden met de zich ontwikkelende vermogens van het kind en moeten onderwijsmethoden aansluiten bij de verschillende behoeften van de verschillende kinderen.  Onderwijs moet ook bedoeld zijn ervoor te zorgen dat ieder kind belangrijke levensvaardigheden leert, en dat geen enkel kind de school verlaat zonder toegerust te zijn om de uitdagingen waarmee hij of zij in het leven kan worden geconfronteerd het hoofd te bieden.  Tot de basisvaardigheden behoren niet alleen lezen en rekenen, maar ook levensvaardigheden zoals het vermogen om weloverwogen beslissingen te nemen, conflicten op te lossen zonder geweld, een gezonde levensstijl te ontwikkelen, goede sociale relaties en gevoel voor verantwoordelijkheid op te bouwen, kritisch te denken, en creatief talent en andere vermogens te ontwikkelen waarmee kinderen hun opties in het leven kunnen bereiken.</w:t>
      </w:r>
    </w:p>
    <w:p w14:paraId="6C12F2B9" w14:textId="77777777" w:rsidR="00261564" w:rsidRDefault="00261564"/>
    <w:p w14:paraId="2DF687E9" w14:textId="77777777" w:rsidR="00261564" w:rsidRDefault="00FA7CD5">
      <w:r>
        <w:t>10.</w:t>
      </w:r>
      <w:r>
        <w:tab/>
        <w:t>Discriminatie van welke aard dan ook zoals genoemd in artikel 2 van het Verdrag, openlijk dan wel verholen, tast de menselijke waardigheid van het kind aan en kan het vermogen van het kind om te profiteren van onderwijskansen ondermijnen of zelfs vernietigen.  Een kind de toegang onthouden tot onderwijsmogelijkheden is voornamelijk een kwestie die te maken heeft met artikel 28 van het Verdrag, maar er zijn vele manieren waarop het niet naleven van de beginselen zoals vervat in artikel 26 (1) een vergelijkbaar effect kunnen hebben.  Zo kan in een extreem voorbeeld discriminatie op basis van sekse worden bevorderd door een curriculum dat strijdig is met de principes van seksegelijkheid, door regelingen waarbij meisjes slechts beperkt profiteren van het onderwijsaanbod en door onveilige en onvriendelijke omgevingen die de deelname van meisjes ontmoedigt.  Discriminatie van gehandicapte kinderen is ook wijdverbreid in veel formele onderwijsomgevingen en in heel veel informele onderwijsomgevingen, waaronder thuis.</w:t>
      </w:r>
      <w:r>
        <w:rPr>
          <w:rStyle w:val="EndnoteReference"/>
          <w:lang w:val="en-US"/>
        </w:rPr>
        <w:endnoteReference w:id="4"/>
      </w:r>
      <w:r>
        <w:t xml:space="preserve">  Ook kinderen met HIV/AIDS worden in beide omgevingen zwaar gediscrimineerd.</w:t>
      </w:r>
      <w:r>
        <w:rPr>
          <w:rStyle w:val="EndnoteReference"/>
          <w:lang w:val="en-US"/>
        </w:rPr>
        <w:endnoteReference w:id="5"/>
      </w:r>
      <w:r>
        <w:t xml:space="preserve">  Al dit soort discriminerende praktijken zijn in strijd met de eisen in artikel 29 (1) (a) dat onderwijs gericht moet zijn op de zo volledig mogelijke ontplooiing van de persoonlijkheid van het kind, talenten en geestelijke en fysieke mogelijkheden.</w:t>
      </w:r>
    </w:p>
    <w:p w14:paraId="65C8D447" w14:textId="77777777" w:rsidR="00261564" w:rsidRPr="0081056B" w:rsidRDefault="00261564"/>
    <w:p w14:paraId="64849171" w14:textId="77777777" w:rsidR="00261564" w:rsidRDefault="00FA7CD5">
      <w:r>
        <w:t>11.</w:t>
      </w:r>
      <w:r>
        <w:tab/>
        <w:t>Het Comité wil ook het verband benadrukken tussen artikel 29 (1) en de bestrijding van racisme, rassendiscriminatie, vreemdelingenhaat en verwante intolerantie.  Racisme en verwante verschijnselen ontstaan wanneer er sprake is van onwetendheid, ongegronde angst voor raciale, etnische, religieuze, culturele en taalverschillen of andere verschillen, het gebruik maken van vooroordelen, of het onderwijzen of verspreiden van vertekende waarden.  Een betrouwbaar en duurzaam tegengif voor al deze tekortkomingen is het aanbieden van onderwijs dat het begrip en de waardering voor de waarden in artikel 29 (1) bevordert, waaronder het respect voor verschillen, en alle aspecten van discriminatie en vooroordelen bestrijdt.  Onderwijs moet dus één van de hoogste prioriteiten krijgen in alle campagnes tegen het kwaad van racisme en verwante verschijnselen.  Het accent moet ook worden gelegd op het belang van onderwijs over de achtergrond van racisme, zeker omdat het zich manifesteert of zich heeft gemanifesteerd in bepaalde gemeenschappen.  Niet alleen ‘anderen’ vertonen racistisch gedrag.  Het is daarom belangrijk om zich bij het onderwijzen van mensen- en kinderrechten en het principe van non-discriminatie te richten op de eigen gemeenschap van het kind. Dergelijk onderwijs kan op effectieve wijze bijdragen aan het voorkomen en uitbannen van racisme, etnische discriminatie, vreemdelingenhaat en verwante intolerantie.</w:t>
      </w:r>
    </w:p>
    <w:p w14:paraId="4CCC7A3C" w14:textId="77777777" w:rsidR="00261564" w:rsidRDefault="00261564"/>
    <w:p w14:paraId="5B7A35FF" w14:textId="77777777" w:rsidR="00261564" w:rsidRDefault="00FA7CD5">
      <w:r>
        <w:t>12.</w:t>
      </w:r>
      <w:r>
        <w:tab/>
        <w:t xml:space="preserve">Ten vierde legt artikel 29 (1) de nadruk op een holistische benadering van onderwijs om te waarborgen dat de onderwijsmogelijkheden die worden geboden de juiste balans bieden tussen de fysieke, geestelijke, spirituele en emotionele aspecten van onderwijs, de intellectuele, sociale en praktische aspecten ervan, en de aspecten van de kinderjaren en het hele leven.  Het algemene doel van onderwijs is om het kind zo goed mogelijk voor te bereiden op een volledige en verantwoorde deelname aan een vrije samenleving.  Er dient te worden benadrukt dat het soort onderwijs dat zich primair richt op kennisopname, en dat aanzet tot competitiviteit en voor een buitensporige werkbelasting voor kinderen zorgt, de harmonieuze en volledige ontplooiing van de vermogens en talenten van het kind ernstig kan belemmeren.  Onderwijs moet kindvriendelijk zijn en het individuele kind inspireren en motiveren.  Scholen moeten een humane sfeer bevorderen en kinderen de kans geven om zich in hun eigen tempo te ontwikkelen. </w:t>
      </w:r>
    </w:p>
    <w:p w14:paraId="7A766E8B" w14:textId="77777777" w:rsidR="00261564" w:rsidRDefault="00261564"/>
    <w:p w14:paraId="2C7BD4D1" w14:textId="77777777" w:rsidR="00261564" w:rsidRDefault="00FA7CD5">
      <w:r>
        <w:t>13.</w:t>
      </w:r>
      <w:r>
        <w:tab/>
        <w:t>Ten vijfde benadrukt het de noodzaak om onderwijs zo in te richten en aan te bieden dat het op een alomvattende en holistische wijze de verzameling specifieke ethische waarden die zijn vastgelegd in het Verdrag bevordert en versterkt, waaronder onderwijs voor vrede, tolerantie en respect voor de natuurlijke omgeving.  Hiervoor is mogelijk een multidisciplinaire aanpak nodig.  De bevordering en versterking van de waarden in artikel 29 (1) zijn niet alleen nodig vanwege problemen elders, maar moeten zich ook richten op problemen binnen de eigen gemeenschap van het kind.  In dit verband moet onderwijs in de familie plaatsvinden, maar ook voor scholen en gemeenschappen ligt hier een belangrijke rol.  Zo moet het onderwijs voor bijvoorbeeld het ontwikkelen van respect voor de natuurlijke omgeving thema's als milieu en duurzame ontwikkeling koppelen aan sociaal</w:t>
      </w:r>
      <w:r>
        <w:noBreakHyphen/>
        <w:t>economische, sociaal-culturele en demografische kwesties.  Ook thuis, op school en in de gemeenschap moet kinderen worden geleerd om respect te hebben voor de natuurlijke omgeving, met aandacht voor nationale en internationale problemen. Verder moeten kinderen actief worden betrokken bij lokale, regionale en wereldwijde milieuprojecten.</w:t>
      </w:r>
    </w:p>
    <w:p w14:paraId="25A01564" w14:textId="77777777" w:rsidR="00261564" w:rsidRDefault="00261564"/>
    <w:p w14:paraId="09617167" w14:textId="77777777" w:rsidR="00261564" w:rsidRDefault="00FA7CD5">
      <w:r>
        <w:t>14.</w:t>
      </w:r>
      <w:r>
        <w:tab/>
        <w:t>Ten zesde geeft het de actieve rol weer van passende opleidingsmogelijkheden voor het bevorderen van alle andere mensenrechten en het begrip voor de ondeelbaarheid hiervan.  Het vermogen van een kind om volledig en verantwoord te kunnen deelnemen aan een vrije samenleving kan niet alleen worden bedreigd of ondermijnd door volledige onthouding van de toegang tot onderwijs, maar ook door het ontbreken van stimulans om de waarden die in dit artikel worden onderscheiden te begrijpen.</w:t>
      </w:r>
    </w:p>
    <w:p w14:paraId="7A48283F" w14:textId="77777777" w:rsidR="00261564" w:rsidRPr="0081056B" w:rsidRDefault="00261564"/>
    <w:p w14:paraId="3D3D030E" w14:textId="77777777" w:rsidR="00261564" w:rsidRDefault="00FA7CD5">
      <w:pPr>
        <w:pStyle w:val="Heading3"/>
      </w:pPr>
      <w:r>
        <w:t>Onderwijs in mensenrechten</w:t>
      </w:r>
    </w:p>
    <w:p w14:paraId="68AB07D3" w14:textId="77777777" w:rsidR="00261564" w:rsidRDefault="00261564"/>
    <w:p w14:paraId="04581E65" w14:textId="77777777" w:rsidR="00261564" w:rsidRDefault="00FA7CD5">
      <w:r>
        <w:t>15.</w:t>
      </w:r>
      <w:r>
        <w:tab/>
        <w:t>Artikel 29 (1) kan ook worden gezien als een basis voor verschillende onderwijsprogramma's voor mensenrechten, waarop werd aangedrongen door de Wereldconferentie over de Mensenrechten die in 1933 in Wenen werd gehouden, en die wordt gepromoot door internationale agentschappen.  Toch hebben de rechten van het kind in de context van dit soort activiteiten niet altijd de aandacht gekregen die nodig is.  Onderwijs in mensenrechten moet informatie geven over de inhoud van de mensenrechtenverdragen.  Maar kinderen moeten ook leren over mensenrechten door de standaarden voor mensenrechten in de praktijk te ervaren: thuis, op school of in de gemeenschap.  Onderwijs in mensenrechten moet een volledig, levenslang proces zijn dat start bij het herkennen van de waarden van mensenrechten in het dagelijks leven en ervaringen van kinderen.</w:t>
      </w:r>
      <w:r>
        <w:rPr>
          <w:rStyle w:val="EndnoteReference"/>
        </w:rPr>
        <w:endnoteReference w:id="6"/>
      </w:r>
    </w:p>
    <w:p w14:paraId="4392BC04" w14:textId="77777777" w:rsidR="00261564" w:rsidRDefault="00261564"/>
    <w:p w14:paraId="6F43CF8D" w14:textId="77777777" w:rsidR="00261564" w:rsidRDefault="00FA7CD5">
      <w:r>
        <w:t>16.</w:t>
      </w:r>
      <w:r>
        <w:tab/>
        <w:t>De waarden die in artikel 29 (1) worden genoemd zijn belangrijk voor kinderen die in vredesgebieden wonen, maar nog veel belangrijker voor kinderen die in conflict- of noodsituaties leven.  Conform de ‘Dakar Framework for Action notes</w:t>
      </w:r>
      <w:bookmarkStart w:id="1" w:name="_GoBack"/>
      <w:bookmarkEnd w:id="1"/>
      <w:r>
        <w:t>’ is het in de context van onderwijssystemen die getroffen zijn door conflict, natuurrampen en instabiliteit belangrijk dat onderwijsprogramma's worden uitgevoerd op een wijze die wederzijds begrip, vrede en tolerantie bevordert, en dat deze bijdragen aan het voorkomen van geweld en conflict.</w:t>
      </w:r>
      <w:r>
        <w:rPr>
          <w:rStyle w:val="EndnoteReference"/>
        </w:rPr>
        <w:endnoteReference w:id="7"/>
      </w:r>
      <w:r>
        <w:t xml:space="preserve">  Ook onderwijs over internationaal humanitair recht is een belangrijk, maar vaak genegeerd aspect van de uitvoering van artikel 29 (1).</w:t>
      </w:r>
    </w:p>
    <w:p w14:paraId="177E35DB" w14:textId="77777777" w:rsidR="00261564" w:rsidRPr="0081056B" w:rsidRDefault="00261564"/>
    <w:p w14:paraId="5FE4E01C" w14:textId="77777777" w:rsidR="00261564" w:rsidRDefault="00FA7CD5">
      <w:pPr>
        <w:pStyle w:val="Heading3"/>
      </w:pPr>
      <w:r>
        <w:t>Uitvoering, controle en evaluatie</w:t>
      </w:r>
    </w:p>
    <w:p w14:paraId="6A766BEF" w14:textId="77777777" w:rsidR="00261564" w:rsidRDefault="00261564"/>
    <w:p w14:paraId="5C17A0E4" w14:textId="77777777" w:rsidR="00261564" w:rsidRDefault="00FA7CD5">
      <w:r>
        <w:t>17.</w:t>
      </w:r>
      <w:r>
        <w:tab/>
        <w:t xml:space="preserve">De doelstellingen en waarden in dit artikel zijn in redelijk algemene termen benoemd en de gevolgen ervan zijn mogelijk zeer verstrekkend.  Dit lijkt er toe te hebben geleid dat vele Staten die partij zijn, in de veronderstelling verkeerden dat het niet nodig of zelfs ongepast zou zijn om te waarborgen dat de relevante principes in wetgeving of in administratieve richtlijnen zijn opgenomen.  Deze veronderstelling is ongefundeerd.  Als een formele onderschrijving hiervan in nationale wetgeving of nationaal beleid ontbreekt, lijkt het niet waarschijnlijk dat de relevante beginselen daadwerkelijk in het onderwijsbeleid hun beslag vinden of gaan vinden.  Daarom roept het Comité hierbij alle Staten die partij zijn op om de noodzakelijke stappen te nemen om deze beginselen formeel op te nemen op alle niveaus van hun onderwijsbeleid en wetgeving.  </w:t>
      </w:r>
    </w:p>
    <w:p w14:paraId="11842857" w14:textId="77777777" w:rsidR="00261564" w:rsidRDefault="00261564"/>
    <w:p w14:paraId="160C5F75" w14:textId="77777777" w:rsidR="00261564" w:rsidRDefault="00FA7CD5">
      <w:r>
        <w:t>18.</w:t>
      </w:r>
      <w:r>
        <w:tab/>
        <w:t>De effectieve bevordering van artikel 29 (1) vereist een fundamentele herziening van de curricula om de verschillende onderwijsdoelstellingen en de systematische herziening van leerboeken en andere lesmaterialen en technologieën op te kunnen nemen, evenals het beleid van scholen.  Benaderingswijzen die alleen voorrang geven aan de doelstellingen en waarden van het artikel op het bestaande systeem zonder dat diepgaandere wijzigingen worden aangemoedigd, voldoen duidelijk niet.  De relevante waarden kunnen niet effectief worden geïntegreerd in een breder curriculum, en daarmee in overeenstemming worden gebracht, tenzij de mensen waarvan we verwachten dat zij de waarden overbrengen, bevorderen, onderwijzen en, voor zover mogelijk, de waarden vertegenwoordigen waarvan zij zelf van het belang overtuigd zijn.  Trainingsprogramma's voor beroepsopleidingen en interne opleidingen waarin de beginselen in artikel 29 (1) worden bevorderd zijn dus essentieel voor leraren, onderwijsbestuurders en anderen die betrokken zijn bij kinderonderwijs.  Het is ook belangrijk dat de onderwijsmethoden die op scholen worden toegepast de geest en de onderwijsfilosofie van het Comité voor de rechten van het kind en de onderwijsdoelstellingen in artikel 29 (1) weerspiegelen.</w:t>
      </w:r>
    </w:p>
    <w:p w14:paraId="73B6DAC6" w14:textId="77777777" w:rsidR="00261564" w:rsidRDefault="00261564"/>
    <w:p w14:paraId="48F3E4E0" w14:textId="77777777" w:rsidR="00261564" w:rsidRDefault="00FA7CD5">
      <w:r>
        <w:t>19.</w:t>
      </w:r>
      <w:r>
        <w:tab/>
        <w:t>Daarnaast moet de schoolomgeving zelf een afspiegeling zijn van de vrijheid en de geest van begrip, vrede, tolerantie, seksegelijkheid en vriendschap tussen alle mensen, etnische, nationale en religieuze groepen of personen behorend tot de oorspronkelijke bevolking waartoe in artikel 29 (1) (b) en (d) wordt opgeroepen.  Een school die toestaat dat er wordt gepest of dat er andere gewelddadige praktijken of uitsluitpraktijken plaatsvinden voldoet niet aan de eisen in artikel 29 (1).  De term ‘mensenrechtenonderwijs’ wordt te vaak gebruikt op een manier die de connotaties van de term te veel simplificeert.  In aanvulling op het formele mensenrechtenonderwijs is de bevordering van waarden en het voeren van beleid dat mensenrechten bevordert nodig, niet alleen op scholen en universiteiten maar ook binnen de bredere gemeenschap.</w:t>
      </w:r>
    </w:p>
    <w:p w14:paraId="4FA04475" w14:textId="77777777" w:rsidR="00261564" w:rsidRPr="0081056B" w:rsidRDefault="00261564"/>
    <w:p w14:paraId="526F2999" w14:textId="77777777" w:rsidR="00261564" w:rsidRDefault="00FA7CD5">
      <w:r>
        <w:t>20.</w:t>
      </w:r>
      <w:r>
        <w:tab/>
        <w:t>Over het algemeen zijn de initiatieven die de Staten die partij zijn, moeten nemen ingevolge de verplichten in het Verdrag onvoldoende geworteld omdat de tekst van het Verdrag zelf niet breed is verspreid, conform de bepalingen in artikel 42.  Dit zal het ook voor kinderen makkelijker maken om in hun dagelijks leven de rol van promotor en verdediger van de rechten van kinderen op zich te nemen.  Om een bredere verspreiding te faciliteren zouden Staten die partij zijn, moeten rapporteren over de maatregelen die zij hebben genomen om dit doel te bereiken. Het Bureau van de Hoge Vertegenwoordiger voor de Mensenrechten moet een uitgebreide database ontwikkelen met de verschillende versies in de talen waarin het Verdrag is geproduceerd.</w:t>
      </w:r>
    </w:p>
    <w:p w14:paraId="0D9BBE68" w14:textId="77777777" w:rsidR="00261564" w:rsidRDefault="00261564"/>
    <w:p w14:paraId="2AE45DDF" w14:textId="77777777" w:rsidR="00261564" w:rsidRDefault="00FA7CD5">
      <w:r>
        <w:t>21.</w:t>
      </w:r>
      <w:r>
        <w:tab/>
        <w:t>De media heeft in brede zin ook een centrale rol in zowel het promoten van de waarden en doelstellingen uit artikel 29 (1) als in het waarborgen dat hun activiteiten de inspanningen van anderen om deze doelen te promoten niet ondermijnen.  Het Verdrag verplicht regeringen om ingevolge artikel 17 (a) alle mogelijke maatregelen te nemen om ‘de massamedia te motiveren om informatie en materialen te verspreiden die het kind op sociaal en cultureel gebied ten goede komen.’</w:t>
      </w:r>
      <w:r>
        <w:rPr>
          <w:rStyle w:val="EndnoteReference"/>
        </w:rPr>
        <w:endnoteReference w:id="8"/>
      </w:r>
    </w:p>
    <w:p w14:paraId="15F1EF6F" w14:textId="77777777" w:rsidR="00261564" w:rsidRDefault="00261564"/>
    <w:p w14:paraId="7D7B2A5F" w14:textId="77777777" w:rsidR="00261564" w:rsidRDefault="00FA7CD5">
      <w:r>
        <w:t>22.</w:t>
      </w:r>
      <w:r>
        <w:tab/>
        <w:t>Het Comité roept de Staten die partij zijn op om meer aandacht te besteden aan onderwijs als een dynamisch proces, en om middelen toe te wijzen waarmee veranderingen in de tijd kunnen worden gemeten in relatie tot artikel 29 (1).  Ieder kind heeft het recht om onderwijs te krijgen van goede kwaliteit. Daar moet tegenover staan dat er focus komt op de kwaliteit van de leeromgeving, van onderwijs- en leerprocessen en materialen en van het onderwijsresultaat.  Het Comité merkt het belang op van onderzoek waarmee de vooruitgang die is gemaakt kan worden onderzocht, op basis van inzichten van alle betrokken actoren in het proces, waaronder de kinderen die op dit moment niet of wel op school zitten, leraren en jeugdleiders, ouders, onderwijsbestuurders en toezichthouders.  In dit opzicht benadrukt het Comité de rol van controle op nationaal niveau, om te verzekeren dat kinderen, ouders en onderwijzers een bijdrage kunnen leveren aan besluiten die van toepassing zijn op onderwijs.</w:t>
      </w:r>
    </w:p>
    <w:p w14:paraId="79156F6D" w14:textId="77777777" w:rsidR="00261564" w:rsidRDefault="00261564"/>
    <w:p w14:paraId="46609E9C" w14:textId="77777777" w:rsidR="00261564" w:rsidRDefault="00FA7CD5">
      <w:r>
        <w:t>23.</w:t>
      </w:r>
      <w:r>
        <w:tab/>
        <w:t>Het Comité roept de Staten die partij zijn op een volledig nationaal actieplan te ontwikkelen om het behalen van de doelstellingen in artikel 29 (1) te bevorderen en bij te houden.  Als een dergelijk plan wordt gemaakt in het kader van een nationaal plan voor kinderen, een nationaal actieplan voor mensenrechten, of een nationale strategie voor mensenrechtenonderwijs, moet de Regering waarborgen dat desalniettemin alle kwesties in artikel 29 (1) vanuit het perspectief van de rechten van het kind worden benaderd.  Het Comité roept de Verenigde Naties en andere internationale organisaties die zich bezighouden met onderwijsbeleid en mensenrechten op om de coördinatie te verbeteren en zo de effectiviteit van de implementatie van artikel 29 (1) te verhogen.</w:t>
      </w:r>
    </w:p>
    <w:p w14:paraId="03B1A3D0" w14:textId="77777777" w:rsidR="00261564" w:rsidRPr="0081056B" w:rsidRDefault="00261564"/>
    <w:p w14:paraId="50E60D92" w14:textId="77777777" w:rsidR="00261564" w:rsidRDefault="00FA7CD5">
      <w:r>
        <w:t>24.</w:t>
      </w:r>
      <w:r>
        <w:tab/>
        <w:t xml:space="preserve">Het ontwerp en de invoering van programma's om de waarden in dit artikel te bevorderen moet onderdeel worden van de standaardreactie van Regeringen op bijna alle situaties waarin patronen van schending van mensenrechten zijn ontstaan.  Zo kan in geval van grote incidenten met betrekking tot racisme, rassendiscriminatie, vreemdelingenhaat en verwante intolerantie redelijkerwijs worden aangenomen dat de Regering niet alles heeft gedaan dat het zou moeten doen om de waarden in het Verdrag in het algemeen en die in artikel 29 (1) in het bijzonder te bevorderen.  Daarom moeten toepasselijke aanvullende maatregelen worden genomen in het kader van artikel 29 (1), waaronder onderzoek en invoering van onderwijsmethoden die mogelijk een positief effect hebben om de rechten die in het Verdrag zijn erkend te bevorderen.  </w:t>
      </w:r>
    </w:p>
    <w:p w14:paraId="24A37DEC" w14:textId="77777777" w:rsidR="00261564" w:rsidRDefault="00FA7CD5">
      <w:r>
        <w:t>25.</w:t>
      </w:r>
      <w:r>
        <w:tab/>
        <w:t>De Staten die partij zijn, moeten ook overwegen om een evaluatieprocedure in te stellen om klachten te behandelen over het bestaande beleid of over praktijken die niet in overeenstemming zijn met artikel 29 (1).  Voor dergelijke evaluatieprocedures hoeven niet noodzakelijkerwijs nieuwe juridische, administratieve of onderwijsinstanties worden opgericht.  Daarvoor kunnen ook landelijke mensenrechtenorganisaties of bestaande overheidsorganen worden aangewezen.  Het Comité vraagt elke Staat die partij is, om in rapportages over dit onderwerp de bestaande, reële mogelijkheden op nationaal of lokaal niveau aan te geven, voor een evaluatie van bestaande aanpakken die als onverenigbaar met het Verdrag worden beschouwd.  Er moet informatie worden gegeven over hoe dergelijke evaluaties kunnen worden opgezet en hoeveel van deze evaluatieprocedures binnen de rapportageperiode hebben plaatsgevonden.</w:t>
      </w:r>
    </w:p>
    <w:p w14:paraId="2F227F15" w14:textId="77777777" w:rsidR="00261564" w:rsidRDefault="00261564"/>
    <w:p w14:paraId="597212E2" w14:textId="77777777" w:rsidR="00261564" w:rsidRDefault="00FA7CD5">
      <w:r>
        <w:t>26.</w:t>
      </w:r>
      <w:r>
        <w:tab/>
        <w:t>Om het proces van het onderzoeken van de rapporten over artikel 29 (1) van de Staten die partij zijn, beter te richten, en in overeenstemming met de eis in artikel 44 dat in rapporten melding moet worden gemaakt van factoren en problemen, verzoekt het Comité elke Staat die partij is om in de tussentijdse rapporten nauwkeurig aan te geven welke problemen in het eigen rechtsgebied de grootste prioriteit hebben en een gezamenlijke aanpak behoeven om de waarden in deze bepaling te bevorderen. Daarnaast verzoekt het Comité de Staten die partij zijn om een voorstel te maken voor een activiteitenprogramma voor de komende vijf jaar voor de aanpak van de geïdentificeerde problemen.</w:t>
      </w:r>
    </w:p>
    <w:p w14:paraId="084B422B" w14:textId="77777777" w:rsidR="00261564" w:rsidRDefault="00261564"/>
    <w:p w14:paraId="4A362BD6" w14:textId="77777777" w:rsidR="00261564" w:rsidRDefault="00FA7CD5">
      <w:r>
        <w:t>27.</w:t>
      </w:r>
      <w:r>
        <w:tab/>
        <w:t>Het Comité roept de organisaties en agentschappen van de Verenigde Naties en andere bevoegde organisaties wiens rol wordt genoemd in artikel 45 van het Verdrag, op om een actievere en meer systematische bijdrage te leveren aan het werk van het Comité met betrekking tot artikel 29 (1).</w:t>
      </w:r>
    </w:p>
    <w:p w14:paraId="1B3C7DC5" w14:textId="77777777" w:rsidR="00261564" w:rsidRDefault="00261564"/>
    <w:p w14:paraId="7AB1BDEA" w14:textId="77777777" w:rsidR="00261564" w:rsidRDefault="00FA7CD5">
      <w:r>
        <w:t>28.</w:t>
      </w:r>
      <w:r>
        <w:tab/>
        <w:t xml:space="preserve">Voor de implementatie van een volledig nationaal plan van aanpak om naleving van artikel 29 (1) te verbeteren, zijn personele en financiële middelen nodig die, conform artikel 4, maximaal beschikbaar moeten worden gemaakt.  Om die reden beschouwt het Comité beperkingen op dit gebied niet als een rechtvaardiging voor de tekortkomingen van een Staat die partij is, om geen of niet voldoende van de benodigde maatregelen te nemen.  In deze context, en in het licht van de verplichting van Staten die partij zijn om internationale samenwerking te bevorderen en aan te moedigen zowel in algemene zin (art. 4 en 45 van het Verdrag) als in relatie tot onderwijs (art. 28 (3)), roept het Comité de Staten die partij zijn en die ontwikkelingssamenwerking bieden, op om te verzekeren dat hun programma's rekening houden met de beginselen zoals die zijn vervat in artikel 29 (1). </w:t>
      </w:r>
    </w:p>
    <w:p w14:paraId="0FCFA190" w14:textId="77777777" w:rsidR="00261564" w:rsidRDefault="00261564"/>
    <w:p w14:paraId="2B75C5FD" w14:textId="77777777" w:rsidR="00261564" w:rsidRDefault="00FA7CD5">
      <w:pPr>
        <w:jc w:val="center"/>
        <w:rPr>
          <w:u w:val="single"/>
        </w:rPr>
      </w:pPr>
      <w:r>
        <w:br w:type="page"/>
      </w:r>
      <w:r>
        <w:rPr>
          <w:u w:val="single"/>
        </w:rPr>
        <w:t>Aantekeningen</w:t>
      </w:r>
    </w:p>
    <w:sectPr w:rsidR="00261564">
      <w:headerReference w:type="even" r:id="rId9"/>
      <w:headerReference w:type="default" r:id="rId10"/>
      <w:endnotePr>
        <w:numFmt w:val="decimal"/>
      </w:endnotePr>
      <w:type w:val="continuous"/>
      <w:pgSz w:w="11907" w:h="16840" w:code="9"/>
      <w:pgMar w:top="567" w:right="850" w:bottom="1984" w:left="1701" w:header="850" w:footer="1984" w:gutter="0"/>
      <w:cols w:space="720"/>
      <w:titlePg/>
      <w:docGrid w:linePitch="1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3FC9F" w14:textId="77777777" w:rsidR="00261564" w:rsidRDefault="00261564"/>
  </w:endnote>
  <w:endnote w:type="continuationSeparator" w:id="0">
    <w:p w14:paraId="6E49A2E4" w14:textId="77777777" w:rsidR="00261564" w:rsidRDefault="00261564">
      <w:pPr>
        <w:pStyle w:val="Footer"/>
      </w:pPr>
    </w:p>
  </w:endnote>
  <w:endnote w:id="1">
    <w:p w14:paraId="719F1F8F" w14:textId="77777777" w:rsidR="00261564" w:rsidRDefault="00FA7CD5">
      <w:pPr>
        <w:pStyle w:val="EndnoteText"/>
      </w:pPr>
      <w:r>
        <w:rPr>
          <w:rStyle w:val="EndnoteReference"/>
        </w:rPr>
        <w:endnoteRef/>
      </w:r>
      <w:r>
        <w:t xml:space="preserve">  In dit verband neemt het Comité kennis van General Comment Nr. 13 (1999) van het Comité voor economische, sociale en culturele rechten over het recht op onderwijs, dat zich onder andere bezighoudt met de doelstellingen voor onderwijs in artikel 13 (1) van het Internationaal Verdrag inzake economische, sociale en culturele rechten.  Het Comité wijst ook op de algemene richtlijnen ten aanzien van de vorm en de inhoud van de periodieke rapporten die door de Staten die partij zijn, moeten worden ingediend volgens artikel 44, lid 1 (b), van het Verdrag, (CRC/C/58), punten 112-116.</w:t>
      </w:r>
    </w:p>
    <w:p w14:paraId="008A9C2D" w14:textId="77777777" w:rsidR="00261564" w:rsidRDefault="00261564">
      <w:pPr>
        <w:pStyle w:val="EndnoteText"/>
      </w:pPr>
    </w:p>
  </w:endnote>
  <w:endnote w:id="2">
    <w:p w14:paraId="60961B20" w14:textId="77777777" w:rsidR="00261564" w:rsidRPr="0081056B" w:rsidRDefault="00FA7CD5">
      <w:pPr>
        <w:pStyle w:val="EndnoteText"/>
        <w:rPr>
          <w:lang w:val="en-GB"/>
        </w:rPr>
      </w:pPr>
      <w:r>
        <w:rPr>
          <w:rStyle w:val="EndnoteReference"/>
        </w:rPr>
        <w:endnoteRef/>
      </w:r>
      <w:r w:rsidRPr="0081056B">
        <w:rPr>
          <w:lang w:val="en-GB"/>
        </w:rPr>
        <w:t xml:space="preserve">  Organisatie der Verenigde Naties voor Onderwijs, Wetenschap en Cultuur, </w:t>
      </w:r>
      <w:r w:rsidRPr="0081056B">
        <w:rPr>
          <w:i/>
          <w:lang w:val="en-GB"/>
        </w:rPr>
        <w:t>Learning:  The Treasure Within,</w:t>
      </w:r>
      <w:r w:rsidRPr="0081056B">
        <w:rPr>
          <w:lang w:val="en-GB"/>
        </w:rPr>
        <w:t xml:space="preserve"> Report of the International Commission on Education for the 21</w:t>
      </w:r>
      <w:r w:rsidRPr="0081056B">
        <w:rPr>
          <w:vertAlign w:val="superscript"/>
          <w:lang w:val="en-GB"/>
        </w:rPr>
        <w:t>st</w:t>
      </w:r>
      <w:r w:rsidRPr="0081056B">
        <w:rPr>
          <w:lang w:val="en-GB"/>
        </w:rPr>
        <w:t xml:space="preserve"> Century, 1996, p. 16</w:t>
      </w:r>
      <w:r w:rsidRPr="0081056B">
        <w:rPr>
          <w:lang w:val="en-GB"/>
        </w:rPr>
        <w:noBreakHyphen/>
        <w:t>18.</w:t>
      </w:r>
    </w:p>
    <w:p w14:paraId="799B7DFA" w14:textId="77777777" w:rsidR="00261564" w:rsidRPr="0081056B" w:rsidRDefault="00261564">
      <w:pPr>
        <w:pStyle w:val="EndnoteText"/>
        <w:rPr>
          <w:lang w:val="en-GB"/>
        </w:rPr>
      </w:pPr>
    </w:p>
  </w:endnote>
  <w:endnote w:id="3">
    <w:p w14:paraId="5D3CE5F1" w14:textId="77777777" w:rsidR="00261564" w:rsidRPr="0081056B" w:rsidRDefault="00FA7CD5">
      <w:pPr>
        <w:pStyle w:val="EndnoteText"/>
        <w:rPr>
          <w:lang w:val="en-GB"/>
        </w:rPr>
      </w:pPr>
      <w:r>
        <w:rPr>
          <w:rStyle w:val="EndnoteReference"/>
        </w:rPr>
        <w:endnoteRef/>
      </w:r>
      <w:r w:rsidRPr="0081056B">
        <w:rPr>
          <w:lang w:val="en-GB"/>
        </w:rPr>
        <w:t xml:space="preserve">  United Nations Educational, Scientific and Cultural Organization, </w:t>
      </w:r>
      <w:r w:rsidRPr="0081056B">
        <w:rPr>
          <w:i/>
          <w:lang w:val="en-GB"/>
        </w:rPr>
        <w:t>The Salamanca Statement and Framework for Action on Special Needs Education,</w:t>
      </w:r>
      <w:r w:rsidRPr="0081056B">
        <w:rPr>
          <w:lang w:val="en-GB"/>
        </w:rPr>
        <w:t xml:space="preserve"> 1994, p. viii.</w:t>
      </w:r>
    </w:p>
    <w:p w14:paraId="044E2DCA" w14:textId="77777777" w:rsidR="00261564" w:rsidRPr="0081056B" w:rsidRDefault="00261564">
      <w:pPr>
        <w:pStyle w:val="EndnoteText"/>
        <w:rPr>
          <w:lang w:val="en-GB"/>
        </w:rPr>
      </w:pPr>
    </w:p>
  </w:endnote>
  <w:endnote w:id="4">
    <w:p w14:paraId="463F4CB0" w14:textId="77777777" w:rsidR="00261564" w:rsidRDefault="00FA7CD5">
      <w:pPr>
        <w:pStyle w:val="EndnoteText"/>
      </w:pPr>
      <w:r>
        <w:rPr>
          <w:rStyle w:val="EndnoteReference"/>
        </w:rPr>
        <w:endnoteRef/>
      </w:r>
      <w:r>
        <w:t xml:space="preserve">  Zie General Comment Nr. 5 (1994) van het Comité voor Economische, Sociale en Culturele Rechten voor gehandicapte personen.</w:t>
      </w:r>
    </w:p>
    <w:p w14:paraId="056DDF85" w14:textId="77777777" w:rsidR="00261564" w:rsidRDefault="00261564">
      <w:pPr>
        <w:pStyle w:val="EndnoteText"/>
      </w:pPr>
    </w:p>
  </w:endnote>
  <w:endnote w:id="5">
    <w:p w14:paraId="6324B427" w14:textId="77777777" w:rsidR="00261564" w:rsidRDefault="00FA7CD5">
      <w:pPr>
        <w:pStyle w:val="EndnoteText"/>
      </w:pPr>
      <w:r>
        <w:rPr>
          <w:rStyle w:val="EndnoteReference"/>
        </w:rPr>
        <w:endnoteRef/>
      </w:r>
      <w:r>
        <w:t xml:space="preserve">  Zie de aanbevelingen overgenomen door het Comité voor de Rechten van het Kind na hun ‘Day of General Discussion’ in 1998 over kinderen die leven in een wereld met HIV/AIDS (A/55/41, punt 1536).</w:t>
      </w:r>
    </w:p>
    <w:p w14:paraId="122016E9" w14:textId="77777777" w:rsidR="00261564" w:rsidRDefault="00261564">
      <w:pPr>
        <w:pStyle w:val="EndnoteText"/>
      </w:pPr>
    </w:p>
  </w:endnote>
  <w:endnote w:id="6">
    <w:p w14:paraId="741B9AD8" w14:textId="77777777" w:rsidR="00261564" w:rsidRDefault="00FA7CD5">
      <w:pPr>
        <w:pStyle w:val="EndnoteText"/>
      </w:pPr>
      <w:r>
        <w:rPr>
          <w:rStyle w:val="EndnoteReference"/>
        </w:rPr>
        <w:endnoteRef/>
      </w:r>
      <w:r>
        <w:t xml:space="preserve">  Zie resolutie 49/184, aangenomen door de VN tijdens de Algemene Vergadering van 23 december 1994, waarin het Decennium voor Mensenrechteneducatie werd uitgeroepen. </w:t>
      </w:r>
    </w:p>
  </w:endnote>
  <w:endnote w:id="7">
    <w:p w14:paraId="62104521" w14:textId="77777777" w:rsidR="00261564" w:rsidRDefault="00261564">
      <w:pPr>
        <w:pStyle w:val="EndnoteText"/>
      </w:pPr>
    </w:p>
    <w:p w14:paraId="2538FC26" w14:textId="77777777" w:rsidR="00261564" w:rsidRDefault="00FA7CD5">
      <w:pPr>
        <w:pStyle w:val="EndnoteText"/>
      </w:pPr>
      <w:r>
        <w:rPr>
          <w:rStyle w:val="EndnoteReference"/>
        </w:rPr>
        <w:endnoteRef/>
      </w:r>
      <w:r>
        <w:t xml:space="preserve">  Education for All:  Meeting our Collective Commitments, aangenomen op het Wereldforum van Dakar, 26-28 april 2000.</w:t>
      </w:r>
    </w:p>
    <w:p w14:paraId="162E0CA2" w14:textId="77777777" w:rsidR="00261564" w:rsidRDefault="00261564">
      <w:pPr>
        <w:pStyle w:val="EndnoteText"/>
      </w:pPr>
    </w:p>
  </w:endnote>
  <w:endnote w:id="8">
    <w:p w14:paraId="7FA7599F" w14:textId="77777777" w:rsidR="00261564" w:rsidRDefault="00FA7CD5">
      <w:pPr>
        <w:pStyle w:val="EndnoteText"/>
      </w:pPr>
      <w:r>
        <w:rPr>
          <w:rStyle w:val="EndnoteReference"/>
        </w:rPr>
        <w:endnoteRef/>
      </w:r>
      <w:r>
        <w:t xml:space="preserve">  Het Comité verwijst in dit kader naar de aanbevelingen die hierover zijn gedaan tijdens de ‘Day of General Discussion’ in 1996 over het kind en de media (zie A/53/41 punt 1396).</w:t>
      </w:r>
    </w:p>
    <w:p w14:paraId="5226207F" w14:textId="77777777" w:rsidR="00261564" w:rsidRDefault="00261564">
      <w:pPr>
        <w:pStyle w:val="EndnoteText"/>
      </w:pPr>
    </w:p>
    <w:p w14:paraId="1BB98C2B" w14:textId="77777777" w:rsidR="00261564" w:rsidRDefault="00261564">
      <w:pPr>
        <w:pStyle w:val="EndnoteText"/>
      </w:pPr>
    </w:p>
    <w:p w14:paraId="384313E8" w14:textId="77777777" w:rsidR="00261564" w:rsidRDefault="00FA7CD5">
      <w:pPr>
        <w:pStyle w:val="EndnoteText"/>
        <w:jc w:val="center"/>
      </w:pPr>
      <w:r>
        <w:t>- - - -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22E6B" w14:textId="77777777" w:rsidR="00261564" w:rsidRDefault="00FA7CD5">
      <w:r>
        <w:separator/>
      </w:r>
    </w:p>
  </w:footnote>
  <w:footnote w:type="continuationSeparator" w:id="0">
    <w:p w14:paraId="665435D6" w14:textId="77777777" w:rsidR="00261564" w:rsidRDefault="00FA7CD5">
      <w:pPr>
        <w:pStyle w:val="Footer"/>
        <w:tabs>
          <w:tab w:val="clear" w:pos="4320"/>
          <w:tab w:val="clear" w:pos="8640"/>
        </w:tabs>
      </w:pPr>
      <w:r>
        <w:rPr>
          <w:u w:val="single"/>
        </w:rPr>
        <w:tab/>
      </w:r>
      <w:r>
        <w:rPr>
          <w:u w:val="single"/>
        </w:rPr>
        <w:tab/>
      </w:r>
      <w:r>
        <w:rPr>
          <w:u w:val="single"/>
        </w:rPr>
        <w:tab/>
      </w:r>
      <w:r>
        <w:rPr>
          <w:u w:val="single"/>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39EB5" w14:textId="77777777" w:rsidR="00261564" w:rsidRDefault="00FA7CD5">
    <w:pPr>
      <w:pStyle w:val="Header"/>
    </w:pPr>
    <w:r>
      <w:t>CRC/GC/2001/1</w:t>
    </w:r>
  </w:p>
  <w:p w14:paraId="505C53AE" w14:textId="77777777" w:rsidR="00261564" w:rsidRDefault="00FA7CD5">
    <w:r>
      <w:t xml:space="preserve">pagina </w:t>
    </w:r>
    <w:r>
      <w:fldChar w:fldCharType="begin"/>
    </w:r>
    <w:r>
      <w:instrText xml:space="preserve"> PAGE  \* MERGEFORMAT </w:instrText>
    </w:r>
    <w:r>
      <w:fldChar w:fldCharType="separate"/>
    </w:r>
    <w:r>
      <w:t>8</w:t>
    </w:r>
    <w:r>
      <w:fldChar w:fldCharType="end"/>
    </w:r>
  </w:p>
  <w:p w14:paraId="01031075" w14:textId="77777777" w:rsidR="00261564" w:rsidRDefault="00261564">
    <w:pPr>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0954" w14:textId="77777777" w:rsidR="00261564" w:rsidRDefault="00FA7CD5">
    <w:pPr>
      <w:pStyle w:val="Header"/>
      <w:tabs>
        <w:tab w:val="clear" w:pos="4320"/>
        <w:tab w:val="clear" w:pos="8640"/>
        <w:tab w:val="left" w:pos="5828"/>
        <w:tab w:val="left" w:pos="6650"/>
      </w:tabs>
    </w:pPr>
    <w:r>
      <w:tab/>
    </w:r>
    <w:r>
      <w:tab/>
      <w:t>CRC/GC/2001/1</w:t>
    </w:r>
  </w:p>
  <w:p w14:paraId="474EC9BC" w14:textId="77777777" w:rsidR="00261564" w:rsidRDefault="00FA7CD5">
    <w:pPr>
      <w:tabs>
        <w:tab w:val="left" w:pos="5828"/>
        <w:tab w:val="left" w:pos="6650"/>
      </w:tabs>
    </w:pPr>
    <w:r>
      <w:tab/>
    </w:r>
    <w:r>
      <w:tab/>
      <w:t xml:space="preserve">pagina </w:t>
    </w:r>
    <w:r>
      <w:fldChar w:fldCharType="begin"/>
    </w:r>
    <w:r>
      <w:instrText xml:space="preserve"> PAGE  \* MERGEFORMAT </w:instrText>
    </w:r>
    <w:r>
      <w:fldChar w:fldCharType="separate"/>
    </w:r>
    <w:r>
      <w:t>9</w:t>
    </w:r>
    <w:r>
      <w:fldChar w:fldCharType="end"/>
    </w:r>
  </w:p>
  <w:p w14:paraId="349E12A1" w14:textId="77777777" w:rsidR="00261564" w:rsidRDefault="00261564">
    <w:pPr>
      <w:tabs>
        <w:tab w:val="left" w:pos="5828"/>
        <w:tab w:val="left" w:pos="6650"/>
      </w:tabs>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9636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9C31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B2C5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00B2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3CA3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72F3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08E6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984A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2E96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70DA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05691"/>
    <w:multiLevelType w:val="singleLevel"/>
    <w:tmpl w:val="36084DBE"/>
    <w:lvl w:ilvl="0">
      <w:start w:val="1"/>
      <w:numFmt w:val="decimal"/>
      <w:lvlText w:val="%1."/>
      <w:lvlJc w:val="left"/>
      <w:pPr>
        <w:tabs>
          <w:tab w:val="num" w:pos="1440"/>
        </w:tabs>
        <w:ind w:left="1440" w:hanging="720"/>
      </w:pPr>
    </w:lvl>
  </w:abstractNum>
  <w:abstractNum w:abstractNumId="11" w15:restartNumberingAfterBreak="0">
    <w:nsid w:val="08CE72D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0AC26C62"/>
    <w:multiLevelType w:val="singleLevel"/>
    <w:tmpl w:val="561E0F3E"/>
    <w:lvl w:ilvl="0">
      <w:start w:val="1"/>
      <w:numFmt w:val="decimal"/>
      <w:lvlText w:val="%1."/>
      <w:lvlJc w:val="left"/>
      <w:pPr>
        <w:tabs>
          <w:tab w:val="num" w:pos="720"/>
        </w:tabs>
        <w:ind w:left="720" w:hanging="720"/>
      </w:pPr>
    </w:lvl>
  </w:abstractNum>
  <w:abstractNum w:abstractNumId="13" w15:restartNumberingAfterBreak="0">
    <w:nsid w:val="0C2069F6"/>
    <w:multiLevelType w:val="hybridMultilevel"/>
    <w:tmpl w:val="AD0A083E"/>
    <w:lvl w:ilvl="0" w:tplc="50A07FE0">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0C549E"/>
    <w:multiLevelType w:val="singleLevel"/>
    <w:tmpl w:val="01325DD6"/>
    <w:lvl w:ilvl="0">
      <w:start w:val="1"/>
      <w:numFmt w:val="lowerLetter"/>
      <w:lvlText w:val="(%1)"/>
      <w:lvlJc w:val="left"/>
      <w:pPr>
        <w:tabs>
          <w:tab w:val="num" w:pos="720"/>
        </w:tabs>
        <w:ind w:left="720" w:hanging="720"/>
      </w:pPr>
    </w:lvl>
  </w:abstractNum>
  <w:abstractNum w:abstractNumId="15" w15:restartNumberingAfterBreak="0">
    <w:nsid w:val="2B3F49C6"/>
    <w:multiLevelType w:val="singleLevel"/>
    <w:tmpl w:val="720CB540"/>
    <w:lvl w:ilvl="0">
      <w:start w:val="1"/>
      <w:numFmt w:val="lowerRoman"/>
      <w:pStyle w:val="Rom2"/>
      <w:lvlText w:val="(%1)"/>
      <w:lvlJc w:val="right"/>
      <w:pPr>
        <w:tabs>
          <w:tab w:val="num" w:pos="2160"/>
        </w:tabs>
        <w:ind w:left="2160" w:hanging="516"/>
      </w:pPr>
    </w:lvl>
  </w:abstractNum>
  <w:abstractNum w:abstractNumId="16" w15:restartNumberingAfterBreak="0">
    <w:nsid w:val="302A75A7"/>
    <w:multiLevelType w:val="singleLevel"/>
    <w:tmpl w:val="3496DD40"/>
    <w:lvl w:ilvl="0">
      <w:start w:val="1"/>
      <w:numFmt w:val="decimal"/>
      <w:lvlText w:val="(%1)"/>
      <w:lvlJc w:val="left"/>
      <w:pPr>
        <w:tabs>
          <w:tab w:val="num" w:pos="1440"/>
        </w:tabs>
        <w:ind w:left="1440" w:hanging="720"/>
      </w:pPr>
    </w:lvl>
  </w:abstractNum>
  <w:abstractNum w:abstractNumId="17" w15:restartNumberingAfterBreak="0">
    <w:nsid w:val="36255761"/>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19" w15:restartNumberingAfterBreak="0">
    <w:nsid w:val="40221049"/>
    <w:multiLevelType w:val="singleLevel"/>
    <w:tmpl w:val="04D4B0C4"/>
    <w:lvl w:ilvl="0">
      <w:start w:val="1"/>
      <w:numFmt w:val="decimal"/>
      <w:lvlText w:val="%1."/>
      <w:lvlJc w:val="left"/>
      <w:pPr>
        <w:tabs>
          <w:tab w:val="num" w:pos="360"/>
        </w:tabs>
        <w:ind w:left="360" w:hanging="360"/>
      </w:pPr>
    </w:lvl>
  </w:abstractNum>
  <w:abstractNum w:abstractNumId="20" w15:restartNumberingAfterBreak="0">
    <w:nsid w:val="452D144C"/>
    <w:multiLevelType w:val="singleLevel"/>
    <w:tmpl w:val="7C4C0A7C"/>
    <w:lvl w:ilvl="0">
      <w:start w:val="1"/>
      <w:numFmt w:val="decimal"/>
      <w:pStyle w:val="ParaNo0"/>
      <w:lvlText w:val="(%1)"/>
      <w:lvlJc w:val="left"/>
      <w:pPr>
        <w:tabs>
          <w:tab w:val="num" w:pos="720"/>
        </w:tabs>
        <w:ind w:left="720" w:hanging="720"/>
      </w:pPr>
    </w:lvl>
  </w:abstractNum>
  <w:abstractNum w:abstractNumId="21" w15:restartNumberingAfterBreak="0">
    <w:nsid w:val="489F3657"/>
    <w:multiLevelType w:val="singleLevel"/>
    <w:tmpl w:val="2AB2508E"/>
    <w:lvl w:ilvl="0">
      <w:start w:val="1"/>
      <w:numFmt w:val="decimal"/>
      <w:lvlText w:val="%1."/>
      <w:lvlJc w:val="left"/>
      <w:pPr>
        <w:tabs>
          <w:tab w:val="num" w:pos="360"/>
        </w:tabs>
        <w:ind w:left="-1" w:firstLine="1"/>
      </w:pPr>
      <w:rPr>
        <w:rFonts w:hint="default"/>
      </w:rPr>
    </w:lvl>
  </w:abstractNum>
  <w:abstractNum w:abstractNumId="22" w15:restartNumberingAfterBreak="0">
    <w:nsid w:val="4EFA2598"/>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B15788D"/>
    <w:multiLevelType w:val="singleLevel"/>
    <w:tmpl w:val="9ECEEF0E"/>
    <w:lvl w:ilvl="0">
      <w:start w:val="1"/>
      <w:numFmt w:val="bullet"/>
      <w:lvlText w:val="-"/>
      <w:lvlJc w:val="left"/>
      <w:pPr>
        <w:tabs>
          <w:tab w:val="num" w:pos="360"/>
        </w:tabs>
        <w:ind w:left="360" w:hanging="360"/>
      </w:pPr>
      <w:rPr>
        <w:rFonts w:ascii="Times New Roman" w:hAnsi="Times New Roman" w:hint="default"/>
        <w:sz w:val="24"/>
      </w:rPr>
    </w:lvl>
  </w:abstractNum>
  <w:abstractNum w:abstractNumId="24" w15:restartNumberingAfterBreak="0">
    <w:nsid w:val="65D15DFE"/>
    <w:multiLevelType w:val="singleLevel"/>
    <w:tmpl w:val="475E6D3C"/>
    <w:lvl w:ilvl="0">
      <w:start w:val="1"/>
      <w:numFmt w:val="decimal"/>
      <w:lvlText w:val="%1."/>
      <w:lvlJc w:val="left"/>
      <w:pPr>
        <w:tabs>
          <w:tab w:val="num" w:pos="360"/>
        </w:tabs>
        <w:ind w:left="360" w:hanging="360"/>
      </w:pPr>
    </w:lvl>
  </w:abstractNum>
  <w:abstractNum w:abstractNumId="25" w15:restartNumberingAfterBreak="0">
    <w:nsid w:val="7ACA643D"/>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7CF349BD"/>
    <w:multiLevelType w:val="singleLevel"/>
    <w:tmpl w:val="51D4BF5A"/>
    <w:lvl w:ilvl="0">
      <w:start w:val="1"/>
      <w:numFmt w:val="lowerRoman"/>
      <w:pStyle w:val="Rom1"/>
      <w:lvlText w:val="(%1)"/>
      <w:lvlJc w:val="right"/>
      <w:pPr>
        <w:tabs>
          <w:tab w:val="num" w:pos="1440"/>
        </w:tabs>
        <w:ind w:left="1440" w:hanging="589"/>
      </w:pPr>
      <w:rPr>
        <w:rFonts w:hint="default"/>
      </w:rPr>
    </w:lvl>
  </w:abstractNum>
  <w:abstractNum w:abstractNumId="27" w15:restartNumberingAfterBreak="0">
    <w:nsid w:val="7DBF6B58"/>
    <w:multiLevelType w:val="singleLevel"/>
    <w:tmpl w:val="0409000F"/>
    <w:lvl w:ilvl="0">
      <w:start w:val="1"/>
      <w:numFmt w:val="decimal"/>
      <w:lvlText w:val="%1."/>
      <w:lvlJc w:val="left"/>
      <w:pPr>
        <w:tabs>
          <w:tab w:val="num" w:pos="360"/>
        </w:tabs>
        <w:ind w:left="360" w:hanging="360"/>
      </w:pPr>
    </w:lvl>
  </w:abstractNum>
  <w:num w:numId="1">
    <w:abstractNumId w:val="26"/>
  </w:num>
  <w:num w:numId="2">
    <w:abstractNumId w:val="15"/>
  </w:num>
  <w:num w:numId="3">
    <w:abstractNumId w:val="26"/>
  </w:num>
  <w:num w:numId="4">
    <w:abstractNumId w:val="15"/>
  </w:num>
  <w:num w:numId="5">
    <w:abstractNumId w:val="11"/>
  </w:num>
  <w:num w:numId="6">
    <w:abstractNumId w:val="17"/>
  </w:num>
  <w:num w:numId="7">
    <w:abstractNumId w:val="19"/>
  </w:num>
  <w:num w:numId="8">
    <w:abstractNumId w:val="25"/>
  </w:num>
  <w:num w:numId="9">
    <w:abstractNumId w:val="22"/>
  </w:num>
  <w:num w:numId="10">
    <w:abstractNumId w:val="27"/>
  </w:num>
  <w:num w:numId="11">
    <w:abstractNumId w:val="19"/>
  </w:num>
  <w:num w:numId="12">
    <w:abstractNumId w:val="21"/>
  </w:num>
  <w:num w:numId="13">
    <w:abstractNumId w:val="21"/>
  </w:num>
  <w:num w:numId="14">
    <w:abstractNumId w:val="24"/>
  </w:num>
  <w:num w:numId="15">
    <w:abstractNumId w:val="18"/>
  </w:num>
  <w:num w:numId="16">
    <w:abstractNumId w:val="18"/>
  </w:num>
  <w:num w:numId="17">
    <w:abstractNumId w:val="26"/>
  </w:num>
  <w:num w:numId="18">
    <w:abstractNumId w:val="15"/>
  </w:num>
  <w:num w:numId="19">
    <w:abstractNumId w:val="1"/>
  </w:num>
  <w:num w:numId="20">
    <w:abstractNumId w:val="0"/>
  </w:num>
  <w:num w:numId="21">
    <w:abstractNumId w:val="16"/>
  </w:num>
  <w:num w:numId="22">
    <w:abstractNumId w:val="10"/>
  </w:num>
  <w:num w:numId="23">
    <w:abstractNumId w:val="14"/>
  </w:num>
  <w:num w:numId="24">
    <w:abstractNumId w:val="12"/>
  </w:num>
  <w:num w:numId="25">
    <w:abstractNumId w:val="20"/>
  </w:num>
  <w:num w:numId="26">
    <w:abstractNumId w:val="23"/>
  </w:num>
  <w:num w:numId="27">
    <w:abstractNumId w:val="2"/>
  </w:num>
  <w:num w:numId="28">
    <w:abstractNumId w:val="3"/>
  </w:num>
  <w:num w:numId="29">
    <w:abstractNumId w:val="8"/>
  </w:num>
  <w:num w:numId="30">
    <w:abstractNumId w:val="9"/>
  </w:num>
  <w:num w:numId="31">
    <w:abstractNumId w:val="7"/>
  </w:num>
  <w:num w:numId="32">
    <w:abstractNumId w:val="6"/>
  </w:num>
  <w:num w:numId="33">
    <w:abstractNumId w:val="5"/>
  </w:num>
  <w:num w:numId="34">
    <w:abstractNumId w:val="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nl-NL" w:vendorID="64" w:dllVersion="0" w:nlCheck="1" w:checkStyle="0"/>
  <w:proofState w:spelling="clean"/>
  <w:defaultTabStop w:val="720"/>
  <w:hyphenationZone w:val="357"/>
  <w:doNotHyphenateCaps/>
  <w:evenAndOddHeaders/>
  <w:drawingGridHorizontalSpacing w:val="39"/>
  <w:drawingGridVerticalSpacing w:val="107"/>
  <w:displayHorizontalDrawingGridEvery w:val="0"/>
  <w:displayVerticalDrawingGridEvery w:val="0"/>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1E"/>
    <w:rsid w:val="00261564"/>
    <w:rsid w:val="0081056B"/>
    <w:rsid w:val="00DB241E"/>
    <w:rsid w:val="00FA7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C56BFD"/>
  <w15:chartTrackingRefBased/>
  <w15:docId w15:val="{7FA297EE-491A-443A-8220-8345E453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caps/>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outlineLvl w:val="4"/>
    </w:pPr>
    <w:rPr>
      <w:i/>
    </w:rPr>
  </w:style>
  <w:style w:type="paragraph" w:styleId="Heading6">
    <w:name w:val="heading 6"/>
    <w:basedOn w:val="Normal"/>
    <w:next w:val="Normal"/>
    <w:qFormat/>
    <w:pPr>
      <w:keepNext/>
      <w:outlineLvl w:val="5"/>
    </w:pPr>
    <w:rPr>
      <w:b/>
      <w:caps/>
    </w:rPr>
  </w:style>
  <w:style w:type="paragraph" w:styleId="Heading7">
    <w:name w:val="heading 7"/>
    <w:basedOn w:val="Normal"/>
    <w:next w:val="Normal"/>
    <w:qFormat/>
    <w:pPr>
      <w:jc w:val="center"/>
      <w:outlineLvl w:val="6"/>
    </w:pPr>
    <w:rPr>
      <w:caps/>
    </w:r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semiHidden/>
    <w:pPr>
      <w:tabs>
        <w:tab w:val="center" w:pos="4320"/>
        <w:tab w:val="right" w:pos="8640"/>
      </w:tabs>
    </w:pPr>
  </w:style>
  <w:style w:type="paragraph" w:styleId="Footer">
    <w:name w:val="footer"/>
    <w:basedOn w:val="Normal"/>
    <w:next w:val="Normal"/>
    <w:semiHidden/>
    <w:pPr>
      <w:tabs>
        <w:tab w:val="center" w:pos="4320"/>
        <w:tab w:val="right" w:pos="8640"/>
      </w:tabs>
    </w:pPr>
  </w:style>
  <w:style w:type="paragraph" w:customStyle="1" w:styleId="Rom1">
    <w:name w:val="Rom1"/>
    <w:basedOn w:val="Normal"/>
    <w:pPr>
      <w:numPr>
        <w:numId w:val="17"/>
      </w:numPr>
      <w:ind w:left="1441" w:hanging="590"/>
    </w:pPr>
  </w:style>
  <w:style w:type="paragraph" w:customStyle="1" w:styleId="Rom2">
    <w:name w:val="Rom2"/>
    <w:basedOn w:val="Normal"/>
    <w:pPr>
      <w:numPr>
        <w:numId w:val="18"/>
      </w:numPr>
    </w:pPr>
  </w:style>
  <w:style w:type="paragraph" w:customStyle="1" w:styleId="ParaNo">
    <w:name w:val="ParaNo."/>
    <w:basedOn w:val="Normal"/>
    <w:pPr>
      <w:numPr>
        <w:numId w:val="16"/>
      </w:numPr>
      <w:tabs>
        <w:tab w:val="clear" w:pos="360"/>
        <w:tab w:val="left" w:pos="737"/>
      </w:tabs>
      <w:ind w:left="0" w:firstLine="0"/>
    </w:pPr>
  </w:style>
  <w:style w:type="character" w:styleId="FootnoteReference">
    <w:name w:val="footnote reference"/>
    <w:basedOn w:val="DefaultParagraphFont"/>
    <w:semiHidden/>
    <w:rPr>
      <w:rFonts w:ascii="Times New Roman" w:hAnsi="Times New Roman"/>
      <w:b/>
      <w:sz w:val="24"/>
      <w:vertAlign w:val="superscript"/>
    </w:rPr>
  </w:style>
  <w:style w:type="paragraph" w:styleId="FootnoteText">
    <w:name w:val="footnote text"/>
    <w:basedOn w:val="Normal"/>
    <w:semiHidden/>
  </w:style>
  <w:style w:type="character" w:styleId="PageNumber">
    <w:name w:val="page number"/>
    <w:basedOn w:val="DefaultParagraphFont"/>
    <w:semiHidden/>
  </w:style>
  <w:style w:type="paragraph" w:styleId="EndnoteText">
    <w:name w:val="endnote text"/>
    <w:basedOn w:val="Normal"/>
    <w:semiHidden/>
  </w:style>
  <w:style w:type="character" w:styleId="EndnoteReference">
    <w:name w:val="endnote reference"/>
    <w:basedOn w:val="DefaultParagraphFont"/>
    <w:semiHidden/>
    <w:rPr>
      <w:rFonts w:ascii="Times New Roman" w:hAnsi="Times New Roman"/>
      <w:b/>
      <w:sz w:val="24"/>
      <w:vertAlign w:val="superscript"/>
    </w:rPr>
  </w:style>
  <w:style w:type="paragraph" w:customStyle="1" w:styleId="ParaNo0">
    <w:name w:val="(ParaNo.)"/>
    <w:basedOn w:val="Normal"/>
    <w:pPr>
      <w:numPr>
        <w:numId w:val="25"/>
      </w:numPr>
    </w:pPr>
  </w:style>
  <w:style w:type="paragraph" w:styleId="PlainText">
    <w:name w:val="Plain Text"/>
    <w:basedOn w:val="Normal"/>
    <w:semiHidden/>
    <w:rPr>
      <w:rFonts w:cs="Courier New"/>
    </w:rPr>
  </w:style>
  <w:style w:type="paragraph" w:styleId="BodyText">
    <w:name w:val="Body Text"/>
    <w:basedOn w:val="Normal"/>
    <w:next w:val="Normal"/>
    <w:semiHidden/>
  </w:style>
  <w:style w:type="paragraph" w:styleId="BodyTextIndent">
    <w:name w:val="Body Text Indent"/>
    <w:basedOn w:val="Normal"/>
    <w:semiHidden/>
    <w:pPr>
      <w:spacing w:after="120"/>
      <w:ind w:left="283"/>
    </w:pPr>
  </w:style>
  <w:style w:type="paragraph" w:styleId="BlockText">
    <w:name w:val="Block Text"/>
    <w:basedOn w:val="Normal"/>
    <w:semiHidden/>
    <w:pPr>
      <w:ind w:left="1440" w:right="1440"/>
    </w:pPr>
  </w:style>
  <w:style w:type="paragraph" w:styleId="CommentText">
    <w:name w:val="annotation text"/>
    <w:uiPriority w:val="99"/>
    <w:semiHidden/>
    <w:unhideWhenUsed/>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8105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4361</Words>
  <Characters>23991</Characters>
  <Application>Microsoft Office Word</Application>
  <DocSecurity>0</DocSecurity>
  <Lines>199</Lines>
  <Paragraphs>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0141253</vt:lpstr>
      <vt:lpstr>0141253</vt:lpstr>
    </vt:vector>
  </TitlesOfParts>
  <Company>ONU</Company>
  <LinksUpToDate>false</LinksUpToDate>
  <CharactersWithSpaces>28296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0141253</dc:title>
  <dc:subject/>
  <dc:creator>PACIS MAMANGUN</dc:creator>
  <cp:keywords>CRC/GC/2001/1</cp:keywords>
  <dc:description>FINAL</dc:description>
  <cp:lastModifiedBy>Loes Hartman</cp:lastModifiedBy>
  <cp:revision>3</cp:revision>
  <cp:lastPrinted>2001-05-02T10:43:00Z</cp:lastPrinted>
  <dcterms:created xsi:type="dcterms:W3CDTF">2019-05-10T15:39:00Z</dcterms:created>
  <dcterms:modified xsi:type="dcterms:W3CDTF">2019-10-19T22:02:00Z</dcterms:modified>
</cp:coreProperties>
</file>